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8525A" w:rsidRPr="0018525A" w:rsidRDefault="0018525A" w:rsidP="0018525A">
      <w:pPr>
        <w:pStyle w:val="Title"/>
        <w:pBdr>
          <w:top w:val="single" w:sz="12" w:space="1" w:color="auto"/>
          <w:bottom w:val="single" w:sz="12" w:space="1" w:color="auto"/>
        </w:pBdr>
        <w:spacing w:line="360" w:lineRule="auto"/>
        <w:rPr>
          <w:smallCaps/>
          <w:sz w:val="36"/>
          <w:szCs w:val="36"/>
        </w:rPr>
      </w:pPr>
      <w:r w:rsidRPr="0018525A">
        <w:rPr>
          <w:smallCaps/>
          <w:sz w:val="36"/>
          <w:szCs w:val="36"/>
        </w:rPr>
        <w:t>Case Note:  Corporate Governance Implications   in India- An Analysis Through Landmark Judgements</w:t>
      </w:r>
    </w:p>
    <w:p w:rsidR="0018525A" w:rsidRDefault="0018525A" w:rsidP="0018525A">
      <w:pPr>
        <w:spacing w:line="360" w:lineRule="auto"/>
        <w:jc w:val="center"/>
        <w:rPr>
          <w:rFonts w:ascii="Times New Roman" w:hAnsi="Times New Roman" w:cs="Times New Roman"/>
          <w:b/>
          <w:bCs/>
          <w:smallCaps/>
          <w:sz w:val="24"/>
          <w:szCs w:val="24"/>
          <w:lang w:val="en-US"/>
        </w:rPr>
      </w:pPr>
    </w:p>
    <w:p w:rsidR="0018525A" w:rsidRPr="00822021" w:rsidRDefault="0018525A" w:rsidP="0018525A">
      <w:pPr>
        <w:spacing w:line="360" w:lineRule="auto"/>
        <w:jc w:val="center"/>
        <w:rPr>
          <w:rFonts w:ascii="Times New Roman" w:hAnsi="Times New Roman" w:cs="Times New Roman"/>
          <w:b/>
          <w:bCs/>
          <w:smallCaps/>
          <w:sz w:val="24"/>
          <w:szCs w:val="24"/>
          <w:lang w:val="en-US"/>
        </w:rPr>
      </w:pPr>
      <w:r w:rsidRPr="00822021">
        <w:rPr>
          <w:rFonts w:ascii="Times New Roman" w:hAnsi="Times New Roman" w:cs="Times New Roman"/>
          <w:b/>
          <w:bCs/>
          <w:smallCaps/>
          <w:sz w:val="24"/>
          <w:szCs w:val="24"/>
          <w:lang w:val="en-US"/>
        </w:rPr>
        <w:t xml:space="preserve">By </w:t>
      </w:r>
      <w:r w:rsidRPr="00822021">
        <w:rPr>
          <w:rFonts w:ascii="Times New Roman" w:hAnsi="Times New Roman" w:cs="Times New Roman"/>
          <w:b/>
          <w:bCs/>
          <w:smallCaps/>
          <w:color w:val="202124"/>
          <w:spacing w:val="3"/>
          <w:sz w:val="24"/>
          <w:szCs w:val="24"/>
          <w:shd w:val="clear" w:color="auto" w:fill="FFFFFF"/>
        </w:rPr>
        <w:t>Khyati Shikhar</w:t>
      </w:r>
      <w:r>
        <w:rPr>
          <w:rStyle w:val="FootnoteReference"/>
          <w:rFonts w:ascii="Times New Roman" w:hAnsi="Times New Roman" w:cs="Times New Roman"/>
          <w:b/>
          <w:bCs/>
          <w:smallCaps/>
          <w:color w:val="202124"/>
          <w:spacing w:val="3"/>
          <w:sz w:val="24"/>
          <w:szCs w:val="24"/>
          <w:shd w:val="clear" w:color="auto" w:fill="FFFFFF"/>
        </w:rPr>
        <w:footnoteReference w:id="1"/>
      </w:r>
    </w:p>
    <w:p w:rsidR="0018525A" w:rsidRPr="00822021" w:rsidRDefault="0018525A" w:rsidP="0018525A">
      <w:pPr>
        <w:pStyle w:val="Title"/>
        <w:spacing w:line="360" w:lineRule="auto"/>
        <w:rPr>
          <w:sz w:val="24"/>
          <w:szCs w:val="24"/>
        </w:rPr>
      </w:pPr>
      <w:r w:rsidRPr="00822021">
        <w:rPr>
          <w:sz w:val="24"/>
          <w:szCs w:val="24"/>
        </w:rPr>
        <w:t>Abstract</w:t>
      </w:r>
    </w:p>
    <w:p w:rsidR="0018525A" w:rsidRDefault="0018525A" w:rsidP="0018525A">
      <w:pPr>
        <w:spacing w:line="360" w:lineRule="auto"/>
        <w:ind w:left="567" w:right="567"/>
        <w:jc w:val="both"/>
        <w:rPr>
          <w:rFonts w:ascii="Times New Roman" w:hAnsi="Times New Roman" w:cs="Times New Roman"/>
          <w:i/>
          <w:iCs/>
          <w:sz w:val="24"/>
          <w:szCs w:val="24"/>
          <w:lang w:val="en-US"/>
        </w:rPr>
      </w:pPr>
      <w:r w:rsidRPr="00822021">
        <w:rPr>
          <w:rFonts w:ascii="Times New Roman" w:hAnsi="Times New Roman" w:cs="Times New Roman"/>
          <w:i/>
          <w:iCs/>
          <w:sz w:val="24"/>
          <w:szCs w:val="24"/>
          <w:lang w:val="en-US"/>
        </w:rPr>
        <w:t>Corporate governance in India has undergone a significant transformation over the last two decades, driven by evolving statutory frameworks, judicial interventions, and regulatory reforms. This case notes analysis the corporate governance implications of key judicial decisions in India, focusing on Tata Consultancy Services Limited v Cyrus Investments Pvt. Ltd and SEBI v Sahara India Real Estate Corporation Ltd. The note explore</w:t>
      </w:r>
      <w:r>
        <w:rPr>
          <w:rFonts w:ascii="Times New Roman" w:hAnsi="Times New Roman" w:cs="Times New Roman"/>
          <w:i/>
          <w:iCs/>
          <w:sz w:val="24"/>
          <w:szCs w:val="24"/>
          <w:lang w:val="en-US"/>
        </w:rPr>
        <w:t>s</w:t>
      </w:r>
      <w:r w:rsidRPr="00822021">
        <w:rPr>
          <w:rFonts w:ascii="Times New Roman" w:hAnsi="Times New Roman" w:cs="Times New Roman"/>
          <w:i/>
          <w:iCs/>
          <w:sz w:val="24"/>
          <w:szCs w:val="24"/>
          <w:lang w:val="en-US"/>
        </w:rPr>
        <w:t xml:space="preserve"> how these cases have shaped corporate governance norms, reinforced fiduciary duties, and influenced the regulatory environment of </w:t>
      </w:r>
      <w:r>
        <w:rPr>
          <w:rFonts w:ascii="Times New Roman" w:hAnsi="Times New Roman" w:cs="Times New Roman"/>
          <w:i/>
          <w:iCs/>
          <w:sz w:val="24"/>
          <w:szCs w:val="24"/>
          <w:lang w:val="en-US"/>
        </w:rPr>
        <w:t>the L</w:t>
      </w:r>
      <w:r w:rsidRPr="00822021">
        <w:rPr>
          <w:rFonts w:ascii="Times New Roman" w:hAnsi="Times New Roman" w:cs="Times New Roman"/>
          <w:i/>
          <w:iCs/>
          <w:sz w:val="24"/>
          <w:szCs w:val="24"/>
          <w:lang w:val="en-US"/>
        </w:rPr>
        <w:t xml:space="preserve">isted </w:t>
      </w:r>
      <w:r>
        <w:rPr>
          <w:rFonts w:ascii="Times New Roman" w:hAnsi="Times New Roman" w:cs="Times New Roman"/>
          <w:i/>
          <w:iCs/>
          <w:sz w:val="24"/>
          <w:szCs w:val="24"/>
          <w:lang w:val="en-US"/>
        </w:rPr>
        <w:t>C</w:t>
      </w:r>
      <w:r w:rsidRPr="00822021">
        <w:rPr>
          <w:rFonts w:ascii="Times New Roman" w:hAnsi="Times New Roman" w:cs="Times New Roman"/>
          <w:i/>
          <w:iCs/>
          <w:sz w:val="24"/>
          <w:szCs w:val="24"/>
          <w:lang w:val="en-US"/>
        </w:rPr>
        <w:t>ompanies Act,</w:t>
      </w:r>
      <w:r>
        <w:rPr>
          <w:rFonts w:ascii="Times New Roman" w:hAnsi="Times New Roman" w:cs="Times New Roman"/>
          <w:i/>
          <w:iCs/>
          <w:sz w:val="24"/>
          <w:szCs w:val="24"/>
          <w:lang w:val="en-US"/>
        </w:rPr>
        <w:t xml:space="preserve"> </w:t>
      </w:r>
      <w:r w:rsidRPr="00822021">
        <w:rPr>
          <w:rFonts w:ascii="Times New Roman" w:hAnsi="Times New Roman" w:cs="Times New Roman"/>
          <w:i/>
          <w:iCs/>
          <w:sz w:val="24"/>
          <w:szCs w:val="24"/>
          <w:lang w:val="en-US"/>
        </w:rPr>
        <w:t xml:space="preserve">2013, SEBI </w:t>
      </w:r>
      <w:proofErr w:type="gramStart"/>
      <w:r w:rsidRPr="00822021">
        <w:rPr>
          <w:rFonts w:ascii="Times New Roman" w:hAnsi="Times New Roman" w:cs="Times New Roman"/>
          <w:i/>
          <w:iCs/>
          <w:sz w:val="24"/>
          <w:szCs w:val="24"/>
          <w:lang w:val="en-US"/>
        </w:rPr>
        <w:t>Listing  Obligations</w:t>
      </w:r>
      <w:proofErr w:type="gramEnd"/>
      <w:r w:rsidRPr="00822021">
        <w:rPr>
          <w:rFonts w:ascii="Times New Roman" w:hAnsi="Times New Roman" w:cs="Times New Roman"/>
          <w:i/>
          <w:iCs/>
          <w:sz w:val="24"/>
          <w:szCs w:val="24"/>
          <w:lang w:val="en-US"/>
        </w:rPr>
        <w:t>, and international governance benchmarks</w:t>
      </w:r>
      <w:r>
        <w:rPr>
          <w:rFonts w:ascii="Times New Roman" w:hAnsi="Times New Roman" w:cs="Times New Roman"/>
          <w:i/>
          <w:iCs/>
          <w:sz w:val="24"/>
          <w:szCs w:val="24"/>
          <w:lang w:val="en-US"/>
        </w:rPr>
        <w:t>.</w:t>
      </w:r>
      <w:r w:rsidRPr="00822021">
        <w:rPr>
          <w:rFonts w:ascii="Times New Roman" w:hAnsi="Times New Roman" w:cs="Times New Roman"/>
          <w:i/>
          <w:iCs/>
          <w:sz w:val="24"/>
          <w:szCs w:val="24"/>
          <w:lang w:val="en-US"/>
        </w:rPr>
        <w:t xml:space="preserve"> </w:t>
      </w:r>
      <w:r>
        <w:rPr>
          <w:rFonts w:ascii="Times New Roman" w:hAnsi="Times New Roman" w:cs="Times New Roman"/>
          <w:i/>
          <w:iCs/>
          <w:sz w:val="24"/>
          <w:szCs w:val="24"/>
          <w:lang w:val="en-US"/>
        </w:rPr>
        <w:t>T</w:t>
      </w:r>
      <w:r w:rsidRPr="00822021">
        <w:rPr>
          <w:rFonts w:ascii="Times New Roman" w:hAnsi="Times New Roman" w:cs="Times New Roman"/>
          <w:i/>
          <w:iCs/>
          <w:sz w:val="24"/>
          <w:szCs w:val="24"/>
          <w:lang w:val="en-US"/>
        </w:rPr>
        <w:t xml:space="preserve">his paper underscores the </w:t>
      </w:r>
      <w:proofErr w:type="gramStart"/>
      <w:r w:rsidRPr="00822021">
        <w:rPr>
          <w:rFonts w:ascii="Times New Roman" w:hAnsi="Times New Roman" w:cs="Times New Roman"/>
          <w:i/>
          <w:iCs/>
          <w:sz w:val="24"/>
          <w:szCs w:val="24"/>
          <w:lang w:val="en-US"/>
        </w:rPr>
        <w:t>judiciary‘</w:t>
      </w:r>
      <w:proofErr w:type="gramEnd"/>
      <w:r w:rsidRPr="00822021">
        <w:rPr>
          <w:rFonts w:ascii="Times New Roman" w:hAnsi="Times New Roman" w:cs="Times New Roman"/>
          <w:i/>
          <w:iCs/>
          <w:sz w:val="24"/>
          <w:szCs w:val="24"/>
          <w:lang w:val="en-US"/>
        </w:rPr>
        <w:t>s pivotal role in strengthening India’s corporate governance framework.</w:t>
      </w:r>
    </w:p>
    <w:p w:rsidR="0018525A" w:rsidRPr="00822021" w:rsidRDefault="0018525A" w:rsidP="0018525A">
      <w:pPr>
        <w:spacing w:line="360" w:lineRule="auto"/>
        <w:ind w:left="567" w:right="567"/>
        <w:jc w:val="both"/>
        <w:rPr>
          <w:rFonts w:ascii="Times New Roman" w:hAnsi="Times New Roman" w:cs="Times New Roman"/>
          <w:i/>
          <w:iCs/>
          <w:sz w:val="24"/>
          <w:szCs w:val="24"/>
          <w:lang w:val="en-US"/>
        </w:rPr>
      </w:pPr>
      <w:r w:rsidRPr="00822021">
        <w:rPr>
          <w:rFonts w:ascii="Times New Roman" w:hAnsi="Times New Roman" w:cs="Times New Roman"/>
          <w:b/>
          <w:bCs/>
          <w:sz w:val="24"/>
          <w:szCs w:val="24"/>
          <w:lang w:val="en-US"/>
        </w:rPr>
        <w:t>Keywords</w:t>
      </w:r>
      <w:r w:rsidRPr="00822021">
        <w:rPr>
          <w:rFonts w:ascii="Times New Roman" w:hAnsi="Times New Roman" w:cs="Times New Roman"/>
          <w:b/>
          <w:bCs/>
          <w:i/>
          <w:iCs/>
          <w:sz w:val="24"/>
          <w:szCs w:val="24"/>
          <w:lang w:val="en-US"/>
        </w:rPr>
        <w:t xml:space="preserve">: </w:t>
      </w:r>
      <w:r w:rsidRPr="00822021">
        <w:rPr>
          <w:rFonts w:ascii="Times New Roman" w:hAnsi="Times New Roman" w:cs="Times New Roman"/>
          <w:sz w:val="24"/>
          <w:szCs w:val="24"/>
          <w:lang w:val="en-US"/>
        </w:rPr>
        <w:t>Corporate</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Governance, Companies Act,</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2013, SEBI Board of Directors, Fiduciary Duties, Shareholders</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Rights, India.</w:t>
      </w:r>
    </w:p>
    <w:p w:rsidR="0018525A" w:rsidRPr="00822021" w:rsidRDefault="0018525A" w:rsidP="0018525A">
      <w:pPr>
        <w:spacing w:line="360" w:lineRule="auto"/>
        <w:rPr>
          <w:rFonts w:ascii="Times New Roman" w:hAnsi="Times New Roman" w:cs="Times New Roman"/>
          <w:sz w:val="24"/>
          <w:szCs w:val="24"/>
          <w:lang w:val="en-US"/>
        </w:rPr>
      </w:pPr>
    </w:p>
    <w:p w:rsidR="0018525A" w:rsidRDefault="0018525A" w:rsidP="0018525A">
      <w:pPr>
        <w:spacing w:line="360" w:lineRule="auto"/>
        <w:jc w:val="both"/>
        <w:rPr>
          <w:rFonts w:ascii="Times New Roman" w:hAnsi="Times New Roman" w:cs="Times New Roman"/>
          <w:sz w:val="24"/>
          <w:szCs w:val="24"/>
          <w:lang w:val="en-US"/>
        </w:rPr>
      </w:pPr>
    </w:p>
    <w:p w:rsidR="0018525A" w:rsidRDefault="0018525A" w:rsidP="0018525A">
      <w:pPr>
        <w:spacing w:line="360" w:lineRule="auto"/>
        <w:jc w:val="both"/>
        <w:rPr>
          <w:rFonts w:ascii="Times New Roman" w:hAnsi="Times New Roman" w:cs="Times New Roman"/>
          <w:sz w:val="24"/>
          <w:szCs w:val="24"/>
          <w:lang w:val="en-US"/>
        </w:rPr>
      </w:pPr>
    </w:p>
    <w:p w:rsidR="0018525A" w:rsidRDefault="0018525A" w:rsidP="0018525A">
      <w:pPr>
        <w:spacing w:line="360" w:lineRule="auto"/>
        <w:jc w:val="both"/>
        <w:rPr>
          <w:rFonts w:ascii="Times New Roman" w:hAnsi="Times New Roman" w:cs="Times New Roman"/>
          <w:sz w:val="24"/>
          <w:szCs w:val="24"/>
          <w:lang w:val="en-US"/>
        </w:rPr>
      </w:pPr>
    </w:p>
    <w:p w:rsidR="0018525A" w:rsidRDefault="0018525A" w:rsidP="0018525A">
      <w:pPr>
        <w:spacing w:line="360" w:lineRule="auto"/>
        <w:jc w:val="both"/>
        <w:rPr>
          <w:rFonts w:ascii="Times New Roman" w:hAnsi="Times New Roman" w:cs="Times New Roman"/>
          <w:sz w:val="24"/>
          <w:szCs w:val="24"/>
          <w:lang w:val="en-US"/>
        </w:rPr>
      </w:pPr>
    </w:p>
    <w:p w:rsidR="0018525A" w:rsidRDefault="0018525A" w:rsidP="0018525A">
      <w:pPr>
        <w:spacing w:line="360" w:lineRule="auto"/>
        <w:jc w:val="both"/>
        <w:rPr>
          <w:rFonts w:ascii="Times New Roman" w:hAnsi="Times New Roman" w:cs="Times New Roman"/>
          <w:sz w:val="24"/>
          <w:szCs w:val="24"/>
          <w:lang w:val="en-US"/>
        </w:rPr>
      </w:pPr>
    </w:p>
    <w:p w:rsidR="0018525A" w:rsidRDefault="0018525A" w:rsidP="0018525A">
      <w:pPr>
        <w:spacing w:line="360" w:lineRule="auto"/>
        <w:jc w:val="both"/>
        <w:rPr>
          <w:rFonts w:ascii="Times New Roman" w:hAnsi="Times New Roman" w:cs="Times New Roman"/>
          <w:sz w:val="24"/>
          <w:szCs w:val="24"/>
          <w:lang w:val="en-US"/>
        </w:rPr>
      </w:pPr>
    </w:p>
    <w:p w:rsidR="0018525A" w:rsidRPr="00822021" w:rsidRDefault="0018525A" w:rsidP="0018525A">
      <w:pPr>
        <w:spacing w:line="360" w:lineRule="auto"/>
        <w:jc w:val="both"/>
        <w:rPr>
          <w:rFonts w:ascii="Times New Roman" w:hAnsi="Times New Roman" w:cs="Times New Roman"/>
          <w:sz w:val="24"/>
          <w:szCs w:val="24"/>
          <w:lang w:val="en-US"/>
        </w:rPr>
      </w:pPr>
    </w:p>
    <w:p w:rsidR="0018525A" w:rsidRPr="00822021" w:rsidRDefault="0018525A" w:rsidP="0018525A">
      <w:pPr>
        <w:pStyle w:val="ListParagraph"/>
        <w:numPr>
          <w:ilvl w:val="0"/>
          <w:numId w:val="34"/>
        </w:numPr>
        <w:spacing w:line="360" w:lineRule="auto"/>
        <w:ind w:hanging="720"/>
        <w:jc w:val="both"/>
        <w:rPr>
          <w:rFonts w:ascii="Times New Roman" w:hAnsi="Times New Roman" w:cs="Times New Roman"/>
          <w:b/>
          <w:bCs/>
          <w:sz w:val="24"/>
          <w:szCs w:val="24"/>
          <w:lang w:val="en-US"/>
        </w:rPr>
      </w:pPr>
      <w:r w:rsidRPr="00822021">
        <w:rPr>
          <w:rFonts w:ascii="Times New Roman" w:hAnsi="Times New Roman" w:cs="Times New Roman"/>
          <w:b/>
          <w:bCs/>
          <w:sz w:val="24"/>
          <w:szCs w:val="24"/>
          <w:lang w:val="en-US"/>
        </w:rPr>
        <w:t xml:space="preserve">INTRODUCTION </w:t>
      </w:r>
    </w:p>
    <w:p w:rsidR="0018525A" w:rsidRPr="00822021" w:rsidRDefault="0018525A" w:rsidP="0018525A">
      <w:pPr>
        <w:pStyle w:val="ListParagraph"/>
        <w:spacing w:line="360" w:lineRule="auto"/>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 xml:space="preserve">Corporate governance refers to this system by which companies are directed and cancelled, encompassing relationships among the board, shareholders, management, and other stakeholders, management, and other stakeholders. In India, the framework has been shaped by a combination of legislative enactments, such as the </w:t>
      </w:r>
      <w:r>
        <w:rPr>
          <w:rFonts w:ascii="Times New Roman" w:hAnsi="Times New Roman" w:cs="Times New Roman"/>
          <w:sz w:val="24"/>
          <w:szCs w:val="24"/>
          <w:lang w:val="en-US"/>
        </w:rPr>
        <w:t>C</w:t>
      </w:r>
      <w:r w:rsidRPr="00822021">
        <w:rPr>
          <w:rFonts w:ascii="Times New Roman" w:hAnsi="Times New Roman" w:cs="Times New Roman"/>
          <w:sz w:val="24"/>
          <w:szCs w:val="24"/>
          <w:lang w:val="en-US"/>
        </w:rPr>
        <w:t>ompanies Act 2013,</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and regulatory guidelines by the Securities and Exchange Board</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of</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India</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(SEBI), along with judicial pre</w:t>
      </w:r>
      <w:r>
        <w:rPr>
          <w:rFonts w:ascii="Times New Roman" w:hAnsi="Times New Roman" w:cs="Times New Roman"/>
          <w:sz w:val="24"/>
          <w:szCs w:val="24"/>
          <w:lang w:val="en-US"/>
        </w:rPr>
        <w:t>cedents</w:t>
      </w:r>
      <w:r w:rsidRPr="00822021">
        <w:rPr>
          <w:rFonts w:ascii="Times New Roman" w:hAnsi="Times New Roman" w:cs="Times New Roman"/>
          <w:sz w:val="24"/>
          <w:szCs w:val="24"/>
          <w:lang w:val="en-US"/>
        </w:rPr>
        <w:t>.</w:t>
      </w:r>
    </w:p>
    <w:p w:rsidR="0018525A" w:rsidRPr="00822021" w:rsidRDefault="0018525A" w:rsidP="0018525A">
      <w:pPr>
        <w:pStyle w:val="ListParagraph"/>
        <w:spacing w:line="360" w:lineRule="auto"/>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 xml:space="preserve">The governance failures of the early 2000s (Satyam Computer Services) and subsequent reforms marked </w:t>
      </w:r>
      <w:r>
        <w:rPr>
          <w:rFonts w:ascii="Times New Roman" w:hAnsi="Times New Roman" w:cs="Times New Roman"/>
          <w:sz w:val="24"/>
          <w:szCs w:val="24"/>
          <w:lang w:val="en-US"/>
        </w:rPr>
        <w:t xml:space="preserve">a </w:t>
      </w:r>
      <w:r w:rsidRPr="00822021">
        <w:rPr>
          <w:rFonts w:ascii="Times New Roman" w:hAnsi="Times New Roman" w:cs="Times New Roman"/>
          <w:sz w:val="24"/>
          <w:szCs w:val="24"/>
          <w:lang w:val="en-US"/>
        </w:rPr>
        <w:t>shift towards transparency, accountability and stakeholder protection. This note focuses on two landmark corporate law cases that illustrate the evolving governance norms in India.</w:t>
      </w:r>
    </w:p>
    <w:p w:rsidR="0018525A" w:rsidRPr="00822021" w:rsidRDefault="0018525A" w:rsidP="0018525A">
      <w:pPr>
        <w:pStyle w:val="ListParagraph"/>
        <w:spacing w:line="360" w:lineRule="auto"/>
        <w:jc w:val="both"/>
        <w:rPr>
          <w:rFonts w:ascii="Times New Roman" w:hAnsi="Times New Roman" w:cs="Times New Roman"/>
          <w:sz w:val="24"/>
          <w:szCs w:val="24"/>
          <w:lang w:val="en-US"/>
        </w:rPr>
      </w:pPr>
    </w:p>
    <w:p w:rsidR="0018525A" w:rsidRPr="00207DAC" w:rsidRDefault="0018525A" w:rsidP="0018525A">
      <w:pPr>
        <w:pStyle w:val="ListParagraph"/>
        <w:numPr>
          <w:ilvl w:val="0"/>
          <w:numId w:val="34"/>
        </w:numPr>
        <w:spacing w:line="360" w:lineRule="auto"/>
        <w:ind w:left="709" w:hanging="720"/>
        <w:jc w:val="both"/>
        <w:rPr>
          <w:rFonts w:ascii="Times New Roman" w:hAnsi="Times New Roman" w:cs="Times New Roman"/>
          <w:b/>
          <w:bCs/>
          <w:sz w:val="24"/>
          <w:szCs w:val="24"/>
          <w:lang w:val="en-US"/>
        </w:rPr>
      </w:pPr>
      <w:r w:rsidRPr="00822021">
        <w:rPr>
          <w:rFonts w:ascii="Times New Roman" w:hAnsi="Times New Roman" w:cs="Times New Roman"/>
          <w:b/>
          <w:bCs/>
          <w:sz w:val="24"/>
          <w:szCs w:val="24"/>
          <w:lang w:val="en-US"/>
        </w:rPr>
        <w:t>LANDMARK JUDGMENT</w:t>
      </w:r>
      <w:r>
        <w:rPr>
          <w:rFonts w:ascii="Times New Roman" w:hAnsi="Times New Roman" w:cs="Times New Roman"/>
          <w:b/>
          <w:bCs/>
          <w:sz w:val="24"/>
          <w:szCs w:val="24"/>
          <w:lang w:val="en-US"/>
        </w:rPr>
        <w:t>:</w:t>
      </w:r>
    </w:p>
    <w:p w:rsidR="0018525A" w:rsidRPr="00207DAC" w:rsidRDefault="0018525A" w:rsidP="0018525A">
      <w:pPr>
        <w:pStyle w:val="ListParagraph"/>
        <w:numPr>
          <w:ilvl w:val="0"/>
          <w:numId w:val="36"/>
        </w:numPr>
        <w:spacing w:line="360" w:lineRule="auto"/>
        <w:ind w:left="709" w:hanging="425"/>
        <w:jc w:val="both"/>
        <w:rPr>
          <w:rFonts w:ascii="Times New Roman" w:hAnsi="Times New Roman" w:cs="Times New Roman"/>
          <w:sz w:val="24"/>
          <w:szCs w:val="24"/>
          <w:lang w:val="en-US"/>
        </w:rPr>
      </w:pPr>
      <w:r w:rsidRPr="00207DAC">
        <w:rPr>
          <w:rFonts w:ascii="Times New Roman" w:hAnsi="Times New Roman" w:cs="Times New Roman"/>
          <w:b/>
          <w:bCs/>
          <w:sz w:val="24"/>
          <w:szCs w:val="24"/>
          <w:lang w:val="en-US"/>
        </w:rPr>
        <w:t>Case 1:</w:t>
      </w:r>
      <w:r w:rsidRPr="00207DAC">
        <w:rPr>
          <w:rFonts w:ascii="Times New Roman" w:hAnsi="Times New Roman" w:cs="Times New Roman"/>
          <w:sz w:val="24"/>
          <w:szCs w:val="24"/>
          <w:lang w:val="en-US"/>
        </w:rPr>
        <w:t xml:space="preserve"> Tata Consultancy Services Limited v. Cyrus Investment Pvt. Ltd. (2021)</w:t>
      </w:r>
      <w:r>
        <w:rPr>
          <w:rStyle w:val="FootnoteReference"/>
          <w:rFonts w:ascii="Times New Roman" w:hAnsi="Times New Roman" w:cs="Times New Roman"/>
          <w:sz w:val="24"/>
          <w:szCs w:val="24"/>
          <w:lang w:val="en-US"/>
        </w:rPr>
        <w:footnoteReference w:id="2"/>
      </w:r>
    </w:p>
    <w:p w:rsidR="0018525A" w:rsidRPr="00207DAC" w:rsidRDefault="0018525A" w:rsidP="0018525A">
      <w:pPr>
        <w:spacing w:line="360" w:lineRule="auto"/>
        <w:ind w:left="426" w:firstLine="283"/>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Background</w:t>
      </w:r>
    </w:p>
    <w:p w:rsidR="0018525A" w:rsidRPr="00822021" w:rsidRDefault="0018525A" w:rsidP="0018525A">
      <w:pPr>
        <w:pStyle w:val="ListParagraph"/>
        <w:spacing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The dispute originated in 2016 when Cyrus Mistry, then Executive Chairman of Tata Sons, was removed by the Board. Mistry ‘s holding companies alleged oppression and misma</w:t>
      </w:r>
      <w:r>
        <w:rPr>
          <w:rFonts w:ascii="Times New Roman" w:hAnsi="Times New Roman" w:cs="Times New Roman"/>
          <w:sz w:val="24"/>
          <w:szCs w:val="24"/>
          <w:lang w:val="en-US"/>
        </w:rPr>
        <w:t>na</w:t>
      </w:r>
      <w:r w:rsidRPr="00822021">
        <w:rPr>
          <w:rFonts w:ascii="Times New Roman" w:hAnsi="Times New Roman" w:cs="Times New Roman"/>
          <w:sz w:val="24"/>
          <w:szCs w:val="24"/>
          <w:lang w:val="en-US"/>
        </w:rPr>
        <w:t>gement under section</w:t>
      </w:r>
      <w:r>
        <w:rPr>
          <w:rFonts w:ascii="Times New Roman" w:hAnsi="Times New Roman" w:cs="Times New Roman"/>
          <w:sz w:val="24"/>
          <w:szCs w:val="24"/>
          <w:lang w:val="en-US"/>
        </w:rPr>
        <w:t xml:space="preserve">s </w:t>
      </w:r>
      <w:r w:rsidRPr="00822021">
        <w:rPr>
          <w:rFonts w:ascii="Times New Roman" w:hAnsi="Times New Roman" w:cs="Times New Roman"/>
          <w:sz w:val="24"/>
          <w:szCs w:val="24"/>
          <w:lang w:val="en-US"/>
        </w:rPr>
        <w:t>241 and</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242 of the Companies Act,</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2013, contending that his removal violated principles of corporate governance</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shareholders</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rights,</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and transparency.</w:t>
      </w:r>
    </w:p>
    <w:p w:rsidR="0018525A" w:rsidRPr="0018525A" w:rsidRDefault="0018525A" w:rsidP="0018525A">
      <w:pPr>
        <w:pStyle w:val="Title"/>
        <w:spacing w:after="240" w:line="360" w:lineRule="auto"/>
        <w:ind w:left="709"/>
        <w:jc w:val="both"/>
        <w:rPr>
          <w:sz w:val="24"/>
          <w:szCs w:val="24"/>
        </w:rPr>
      </w:pPr>
      <w:r w:rsidRPr="0018525A">
        <w:rPr>
          <w:sz w:val="24"/>
          <w:szCs w:val="24"/>
        </w:rPr>
        <w:t>Issues before the Court</w:t>
      </w:r>
    </w:p>
    <w:p w:rsidR="0018525A" w:rsidRPr="00822021" w:rsidRDefault="0018525A" w:rsidP="0018525A">
      <w:pPr>
        <w:pStyle w:val="NoSpacing"/>
        <w:numPr>
          <w:ilvl w:val="0"/>
          <w:numId w:val="37"/>
        </w:numPr>
        <w:spacing w:line="360" w:lineRule="auto"/>
        <w:ind w:left="1134" w:hanging="425"/>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Whether Mistry’s removal constituted oppression and mismanagement.</w:t>
      </w:r>
    </w:p>
    <w:p w:rsidR="0018525A" w:rsidRPr="00822021" w:rsidRDefault="0018525A" w:rsidP="0018525A">
      <w:pPr>
        <w:pStyle w:val="NoSpacing"/>
        <w:numPr>
          <w:ilvl w:val="0"/>
          <w:numId w:val="37"/>
        </w:numPr>
        <w:spacing w:line="360" w:lineRule="auto"/>
        <w:ind w:left="1134" w:hanging="425"/>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Whether the Articles of Association of Tata Sons violated minority shareholders</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rights.</w:t>
      </w:r>
    </w:p>
    <w:p w:rsidR="0018525A" w:rsidRPr="00822021" w:rsidRDefault="0018525A" w:rsidP="0018525A">
      <w:pPr>
        <w:pStyle w:val="NoSpacing"/>
        <w:numPr>
          <w:ilvl w:val="0"/>
          <w:numId w:val="37"/>
        </w:numPr>
        <w:spacing w:line="360" w:lineRule="auto"/>
        <w:ind w:left="1134" w:hanging="425"/>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Whether governance practices adhered to statutory and ethical standards.</w:t>
      </w:r>
    </w:p>
    <w:p w:rsidR="0018525A" w:rsidRPr="00207DAC" w:rsidRDefault="0018525A" w:rsidP="0018525A">
      <w:pPr>
        <w:pStyle w:val="NoSpacing"/>
        <w:spacing w:before="240" w:after="240" w:line="360" w:lineRule="auto"/>
        <w:ind w:left="709"/>
        <w:jc w:val="both"/>
        <w:rPr>
          <w:rFonts w:ascii="Times New Roman" w:hAnsi="Times New Roman" w:cs="Times New Roman"/>
          <w:b/>
          <w:bCs/>
          <w:sz w:val="24"/>
          <w:szCs w:val="24"/>
          <w:lang w:val="en-US"/>
        </w:rPr>
      </w:pPr>
      <w:r w:rsidRPr="00822021">
        <w:rPr>
          <w:rFonts w:ascii="Times New Roman" w:hAnsi="Times New Roman" w:cs="Times New Roman"/>
          <w:b/>
          <w:bCs/>
          <w:sz w:val="24"/>
          <w:szCs w:val="24"/>
          <w:lang w:val="en-US"/>
        </w:rPr>
        <w:t>Supreme Court’s Decision</w:t>
      </w:r>
    </w:p>
    <w:p w:rsidR="0018525A" w:rsidRPr="00822021" w:rsidRDefault="0018525A" w:rsidP="0018525A">
      <w:pPr>
        <w:pStyle w:val="NoSpacing"/>
        <w:spacing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The Supreme Court (2021) upheld Mistry</w:t>
      </w:r>
      <w:r>
        <w:rPr>
          <w:rFonts w:ascii="Times New Roman" w:hAnsi="Times New Roman" w:cs="Times New Roman"/>
          <w:sz w:val="24"/>
          <w:szCs w:val="24"/>
          <w:lang w:val="en-US"/>
        </w:rPr>
        <w:t>’</w:t>
      </w:r>
      <w:r w:rsidRPr="00822021">
        <w:rPr>
          <w:rFonts w:ascii="Times New Roman" w:hAnsi="Times New Roman" w:cs="Times New Roman"/>
          <w:sz w:val="24"/>
          <w:szCs w:val="24"/>
          <w:lang w:val="en-US"/>
        </w:rPr>
        <w:t>s removal,</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 xml:space="preserve">holding that the majority shareholders’ decision was within their rights, provided it adhered to the Articles of </w:t>
      </w:r>
      <w:r w:rsidRPr="00822021">
        <w:rPr>
          <w:rFonts w:ascii="Times New Roman" w:hAnsi="Times New Roman" w:cs="Times New Roman"/>
          <w:sz w:val="24"/>
          <w:szCs w:val="24"/>
          <w:lang w:val="en-US"/>
        </w:rPr>
        <w:lastRenderedPageBreak/>
        <w:t xml:space="preserve">Association and statutory provisions. The Court </w:t>
      </w:r>
      <w:proofErr w:type="spellStart"/>
      <w:r w:rsidRPr="00822021">
        <w:rPr>
          <w:rFonts w:ascii="Times New Roman" w:hAnsi="Times New Roman" w:cs="Times New Roman"/>
          <w:sz w:val="24"/>
          <w:szCs w:val="24"/>
          <w:lang w:val="en-US"/>
        </w:rPr>
        <w:t>emphasi</w:t>
      </w:r>
      <w:r>
        <w:rPr>
          <w:rFonts w:ascii="Times New Roman" w:hAnsi="Times New Roman" w:cs="Times New Roman"/>
          <w:sz w:val="24"/>
          <w:szCs w:val="24"/>
          <w:lang w:val="en-US"/>
        </w:rPr>
        <w:t>s</w:t>
      </w:r>
      <w:r w:rsidRPr="00822021">
        <w:rPr>
          <w:rFonts w:ascii="Times New Roman" w:hAnsi="Times New Roman" w:cs="Times New Roman"/>
          <w:sz w:val="24"/>
          <w:szCs w:val="24"/>
          <w:lang w:val="en-US"/>
        </w:rPr>
        <w:t>ed</w:t>
      </w:r>
      <w:proofErr w:type="spellEnd"/>
      <w:r w:rsidRPr="00822021">
        <w:rPr>
          <w:rFonts w:ascii="Times New Roman" w:hAnsi="Times New Roman" w:cs="Times New Roman"/>
          <w:sz w:val="24"/>
          <w:szCs w:val="24"/>
          <w:lang w:val="en-US"/>
        </w:rPr>
        <w:t xml:space="preserve"> that governance disputes must be resolved within the company’s constitutional framework unless clear statutory violations occur.</w:t>
      </w:r>
    </w:p>
    <w:p w:rsidR="0018525A" w:rsidRPr="00207DAC" w:rsidRDefault="0018525A" w:rsidP="0018525A">
      <w:pPr>
        <w:pStyle w:val="NoSpacing"/>
        <w:spacing w:before="240" w:after="240" w:line="360" w:lineRule="auto"/>
        <w:ind w:left="709"/>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 xml:space="preserve">Corporate Governance Implications </w:t>
      </w:r>
    </w:p>
    <w:p w:rsidR="0018525A" w:rsidRPr="00822021" w:rsidRDefault="0018525A" w:rsidP="0018525A">
      <w:pPr>
        <w:pStyle w:val="NoSpacing"/>
        <w:numPr>
          <w:ilvl w:val="0"/>
          <w:numId w:val="38"/>
        </w:numPr>
        <w:spacing w:line="360" w:lineRule="auto"/>
        <w:ind w:left="1134" w:hanging="425"/>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Reinforced board autonomy in decision-making.</w:t>
      </w:r>
    </w:p>
    <w:p w:rsidR="0018525A" w:rsidRPr="00822021" w:rsidRDefault="0018525A" w:rsidP="0018525A">
      <w:pPr>
        <w:pStyle w:val="NoSpacing"/>
        <w:numPr>
          <w:ilvl w:val="0"/>
          <w:numId w:val="38"/>
        </w:numPr>
        <w:spacing w:line="360" w:lineRule="auto"/>
        <w:ind w:left="1134" w:hanging="425"/>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 xml:space="preserve">Clarified </w:t>
      </w:r>
      <w:r>
        <w:rPr>
          <w:rFonts w:ascii="Times New Roman" w:hAnsi="Times New Roman" w:cs="Times New Roman"/>
          <w:sz w:val="24"/>
          <w:szCs w:val="24"/>
          <w:lang w:val="en-US"/>
        </w:rPr>
        <w:t xml:space="preserve">the </w:t>
      </w:r>
      <w:r w:rsidRPr="00822021">
        <w:rPr>
          <w:rFonts w:ascii="Times New Roman" w:hAnsi="Times New Roman" w:cs="Times New Roman"/>
          <w:sz w:val="24"/>
          <w:szCs w:val="24"/>
          <w:lang w:val="en-US"/>
        </w:rPr>
        <w:t>scope of judicial interference in boardroom decisions.</w:t>
      </w:r>
    </w:p>
    <w:p w:rsidR="0018525A" w:rsidRPr="00822021" w:rsidRDefault="0018525A" w:rsidP="0018525A">
      <w:pPr>
        <w:pStyle w:val="NoSpacing"/>
        <w:numPr>
          <w:ilvl w:val="0"/>
          <w:numId w:val="38"/>
        </w:numPr>
        <w:spacing w:line="360" w:lineRule="auto"/>
        <w:ind w:left="1134" w:hanging="425"/>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Highlighted the balance between majority rule and minority rights.</w:t>
      </w:r>
    </w:p>
    <w:p w:rsidR="0018525A" w:rsidRPr="00601FEB" w:rsidRDefault="0018525A" w:rsidP="0018525A">
      <w:pPr>
        <w:pStyle w:val="NoSpacing"/>
        <w:numPr>
          <w:ilvl w:val="0"/>
          <w:numId w:val="38"/>
        </w:numPr>
        <w:spacing w:after="240" w:line="360" w:lineRule="auto"/>
        <w:ind w:left="1134" w:hanging="425"/>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Signal</w:t>
      </w:r>
      <w:r>
        <w:rPr>
          <w:rFonts w:ascii="Times New Roman" w:hAnsi="Times New Roman" w:cs="Times New Roman"/>
          <w:sz w:val="24"/>
          <w:szCs w:val="24"/>
          <w:lang w:val="en-US"/>
        </w:rPr>
        <w:t>e</w:t>
      </w:r>
      <w:r w:rsidRPr="00822021">
        <w:rPr>
          <w:rFonts w:ascii="Times New Roman" w:hAnsi="Times New Roman" w:cs="Times New Roman"/>
          <w:sz w:val="24"/>
          <w:szCs w:val="24"/>
          <w:lang w:val="en-US"/>
        </w:rPr>
        <w:t>d that corporate governance is not a statutory checklist but an evolving standard requiring adherence to fiduciary norms.</w:t>
      </w:r>
    </w:p>
    <w:p w:rsidR="0018525A" w:rsidRPr="00207DAC" w:rsidRDefault="0018525A" w:rsidP="0018525A">
      <w:pPr>
        <w:pStyle w:val="NoSpacing"/>
        <w:numPr>
          <w:ilvl w:val="0"/>
          <w:numId w:val="36"/>
        </w:numPr>
        <w:spacing w:after="240" w:line="360" w:lineRule="auto"/>
        <w:ind w:left="709" w:hanging="425"/>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 xml:space="preserve">Case 2: </w:t>
      </w:r>
      <w:r w:rsidRPr="00207DAC">
        <w:rPr>
          <w:rFonts w:ascii="Times New Roman" w:hAnsi="Times New Roman" w:cs="Times New Roman"/>
          <w:sz w:val="24"/>
          <w:szCs w:val="24"/>
          <w:lang w:val="en-US"/>
        </w:rPr>
        <w:t>SEBI v.</w:t>
      </w:r>
      <w:r>
        <w:rPr>
          <w:rFonts w:ascii="Times New Roman" w:hAnsi="Times New Roman" w:cs="Times New Roman"/>
          <w:sz w:val="24"/>
          <w:szCs w:val="24"/>
          <w:lang w:val="en-US"/>
        </w:rPr>
        <w:t xml:space="preserve"> </w:t>
      </w:r>
      <w:r w:rsidRPr="00207DAC">
        <w:rPr>
          <w:rFonts w:ascii="Times New Roman" w:hAnsi="Times New Roman" w:cs="Times New Roman"/>
          <w:sz w:val="24"/>
          <w:szCs w:val="24"/>
          <w:lang w:val="en-US"/>
        </w:rPr>
        <w:t>Sahara India Real Estate Corp. Ltd. (2012, 2014)</w:t>
      </w:r>
      <w:r>
        <w:rPr>
          <w:rStyle w:val="FootnoteReference"/>
          <w:rFonts w:ascii="Times New Roman" w:hAnsi="Times New Roman" w:cs="Times New Roman"/>
          <w:sz w:val="24"/>
          <w:szCs w:val="24"/>
          <w:lang w:val="en-US"/>
        </w:rPr>
        <w:footnoteReference w:id="3"/>
      </w:r>
      <w:r w:rsidRPr="00207DAC">
        <w:rPr>
          <w:rFonts w:ascii="Times New Roman" w:hAnsi="Times New Roman" w:cs="Times New Roman"/>
          <w:b/>
          <w:bCs/>
          <w:sz w:val="24"/>
          <w:szCs w:val="24"/>
          <w:lang w:val="en-US"/>
        </w:rPr>
        <w:t xml:space="preserve">  </w:t>
      </w:r>
    </w:p>
    <w:p w:rsidR="0018525A" w:rsidRPr="00601FEB" w:rsidRDefault="0018525A" w:rsidP="0018525A">
      <w:pPr>
        <w:pStyle w:val="NoSpacing"/>
        <w:spacing w:after="240" w:line="360" w:lineRule="auto"/>
        <w:ind w:left="709"/>
        <w:jc w:val="both"/>
        <w:rPr>
          <w:rFonts w:ascii="Times New Roman" w:hAnsi="Times New Roman" w:cs="Times New Roman"/>
          <w:b/>
          <w:bCs/>
          <w:sz w:val="24"/>
          <w:szCs w:val="24"/>
          <w:lang w:val="en-US"/>
        </w:rPr>
      </w:pPr>
      <w:r w:rsidRPr="00601FEB">
        <w:rPr>
          <w:rFonts w:ascii="Times New Roman" w:hAnsi="Times New Roman" w:cs="Times New Roman"/>
          <w:b/>
          <w:bCs/>
          <w:sz w:val="24"/>
          <w:szCs w:val="24"/>
          <w:lang w:val="en-US"/>
        </w:rPr>
        <w:t xml:space="preserve">Background </w:t>
      </w:r>
    </w:p>
    <w:p w:rsidR="0018525A" w:rsidRPr="00822021" w:rsidRDefault="0018525A" w:rsidP="0018525A">
      <w:pPr>
        <w:pStyle w:val="NoSpacing"/>
        <w:spacing w:after="240"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Sahara India Real Estate and Sahara Housing Investment Corporation raised over Rupees 24,000 crores through optionally fully convertible debentures (OFCDs) from millions of Investors without complying with SEBI ‘s public issue norms. SEBI ordered Sahara to refund the amount with interest, leading to prolonged litigation.</w:t>
      </w:r>
    </w:p>
    <w:p w:rsidR="0018525A" w:rsidRPr="00207DAC" w:rsidRDefault="0018525A" w:rsidP="0018525A">
      <w:pPr>
        <w:pStyle w:val="NoSpacing"/>
        <w:spacing w:after="240" w:line="360" w:lineRule="auto"/>
        <w:ind w:left="709"/>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 xml:space="preserve">Issues before the Court </w:t>
      </w:r>
    </w:p>
    <w:p w:rsidR="0018525A" w:rsidRPr="00822021" w:rsidRDefault="0018525A" w:rsidP="0018525A">
      <w:pPr>
        <w:pStyle w:val="NoSpacing"/>
        <w:numPr>
          <w:ilvl w:val="0"/>
          <w:numId w:val="39"/>
        </w:numPr>
        <w:spacing w:line="360" w:lineRule="auto"/>
        <w:ind w:left="993" w:hanging="142"/>
        <w:rPr>
          <w:rFonts w:ascii="Times New Roman" w:hAnsi="Times New Roman" w:cs="Times New Roman"/>
          <w:sz w:val="24"/>
          <w:szCs w:val="24"/>
          <w:lang w:val="en-US"/>
        </w:rPr>
      </w:pPr>
      <w:r w:rsidRPr="00822021">
        <w:rPr>
          <w:rFonts w:ascii="Times New Roman" w:hAnsi="Times New Roman" w:cs="Times New Roman"/>
          <w:sz w:val="24"/>
          <w:szCs w:val="24"/>
          <w:lang w:val="en-US"/>
        </w:rPr>
        <w:t>Whether the OFCD issuance fell under “public offer</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as per Section</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67 of the Companies Act,</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1956.</w:t>
      </w:r>
    </w:p>
    <w:p w:rsidR="0018525A" w:rsidRPr="00822021" w:rsidRDefault="0018525A" w:rsidP="0018525A">
      <w:pPr>
        <w:pStyle w:val="NoSpacing"/>
        <w:numPr>
          <w:ilvl w:val="0"/>
          <w:numId w:val="39"/>
        </w:numPr>
        <w:spacing w:line="360" w:lineRule="auto"/>
        <w:ind w:left="993" w:hanging="142"/>
        <w:rPr>
          <w:rFonts w:ascii="Times New Roman" w:hAnsi="Times New Roman" w:cs="Times New Roman"/>
          <w:sz w:val="24"/>
          <w:szCs w:val="24"/>
          <w:lang w:val="en-US"/>
        </w:rPr>
      </w:pPr>
      <w:r w:rsidRPr="00822021">
        <w:rPr>
          <w:rFonts w:ascii="Times New Roman" w:hAnsi="Times New Roman" w:cs="Times New Roman"/>
          <w:sz w:val="24"/>
          <w:szCs w:val="24"/>
          <w:lang w:val="en-US"/>
        </w:rPr>
        <w:t>Whether SEBI had jurisdiction to regulate the issue.</w:t>
      </w:r>
    </w:p>
    <w:p w:rsidR="0018525A" w:rsidRPr="00601FEB" w:rsidRDefault="0018525A" w:rsidP="0018525A">
      <w:pPr>
        <w:pStyle w:val="NoSpacing"/>
        <w:numPr>
          <w:ilvl w:val="0"/>
          <w:numId w:val="39"/>
        </w:numPr>
        <w:spacing w:after="240" w:line="360" w:lineRule="auto"/>
        <w:ind w:left="993" w:hanging="142"/>
        <w:rPr>
          <w:rFonts w:ascii="Times New Roman" w:hAnsi="Times New Roman" w:cs="Times New Roman"/>
          <w:sz w:val="24"/>
          <w:szCs w:val="24"/>
          <w:lang w:val="en-US"/>
        </w:rPr>
      </w:pPr>
      <w:r w:rsidRPr="00822021">
        <w:rPr>
          <w:rFonts w:ascii="Times New Roman" w:hAnsi="Times New Roman" w:cs="Times New Roman"/>
          <w:sz w:val="24"/>
          <w:szCs w:val="24"/>
          <w:lang w:val="en-US"/>
        </w:rPr>
        <w:t>The obligation of corporate entities towards investor protection</w:t>
      </w:r>
    </w:p>
    <w:p w:rsidR="0018525A" w:rsidRPr="00207DAC" w:rsidRDefault="0018525A" w:rsidP="0018525A">
      <w:pPr>
        <w:pStyle w:val="NoSpacing"/>
        <w:spacing w:after="240" w:line="360" w:lineRule="auto"/>
        <w:ind w:left="709"/>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 xml:space="preserve">Supreme Court’s Decision </w:t>
      </w:r>
    </w:p>
    <w:p w:rsidR="0018525A" w:rsidRPr="00822021" w:rsidRDefault="0018525A" w:rsidP="0018525A">
      <w:pPr>
        <w:pStyle w:val="NoSpacing"/>
        <w:spacing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The Supreme Court held that Sahara’s OFCD issue was a public offer and should have complied with SEBI Regulations. The Court ordered Sahara to refund investors with15% interest, stressing strict compliance with disclosure and investor protection norms.</w:t>
      </w:r>
    </w:p>
    <w:p w:rsidR="0018525A" w:rsidRPr="00207DAC" w:rsidRDefault="0018525A" w:rsidP="0018525A">
      <w:pPr>
        <w:pStyle w:val="NoSpacing"/>
        <w:spacing w:before="240" w:after="240" w:line="360" w:lineRule="auto"/>
        <w:ind w:left="709"/>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lastRenderedPageBreak/>
        <w:t>Corporate Governance Implications</w:t>
      </w:r>
    </w:p>
    <w:p w:rsidR="0018525A" w:rsidRPr="00822021" w:rsidRDefault="0018525A" w:rsidP="0018525A">
      <w:pPr>
        <w:pStyle w:val="NoSpacing"/>
        <w:numPr>
          <w:ilvl w:val="0"/>
          <w:numId w:val="40"/>
        </w:numPr>
        <w:spacing w:line="360" w:lineRule="auto"/>
        <w:ind w:left="993" w:hanging="142"/>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Strengthened disclosure requirements and investor protection mechanisms.</w:t>
      </w:r>
    </w:p>
    <w:p w:rsidR="0018525A" w:rsidRPr="00822021" w:rsidRDefault="0018525A" w:rsidP="0018525A">
      <w:pPr>
        <w:pStyle w:val="NoSpacing"/>
        <w:numPr>
          <w:ilvl w:val="0"/>
          <w:numId w:val="40"/>
        </w:numPr>
        <w:spacing w:line="360" w:lineRule="auto"/>
        <w:ind w:left="993" w:hanging="142"/>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Affirmed SEBI ‘s regulatory oversight on public fundraising.</w:t>
      </w:r>
    </w:p>
    <w:p w:rsidR="0018525A" w:rsidRPr="00822021" w:rsidRDefault="0018525A" w:rsidP="0018525A">
      <w:pPr>
        <w:pStyle w:val="NoSpacing"/>
        <w:numPr>
          <w:ilvl w:val="0"/>
          <w:numId w:val="40"/>
        </w:numPr>
        <w:spacing w:line="360" w:lineRule="auto"/>
        <w:ind w:left="993" w:hanging="142"/>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Reinforced accountability and transparency as core</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governance principality</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w:t>
      </w:r>
    </w:p>
    <w:p w:rsidR="0018525A" w:rsidRPr="00822021" w:rsidRDefault="0018525A" w:rsidP="0018525A">
      <w:pPr>
        <w:pStyle w:val="NoSpacing"/>
        <w:numPr>
          <w:ilvl w:val="0"/>
          <w:numId w:val="40"/>
        </w:numPr>
        <w:spacing w:line="360" w:lineRule="auto"/>
        <w:ind w:left="993" w:hanging="142"/>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Sent a deterrent signal to companies against bypassing regulatory scrutiny.</w:t>
      </w:r>
    </w:p>
    <w:p w:rsidR="0018525A" w:rsidRPr="00207DAC" w:rsidRDefault="0018525A" w:rsidP="0018525A">
      <w:pPr>
        <w:pStyle w:val="NoSpacing"/>
        <w:numPr>
          <w:ilvl w:val="0"/>
          <w:numId w:val="34"/>
        </w:numPr>
        <w:spacing w:before="240" w:after="240" w:line="360" w:lineRule="auto"/>
        <w:ind w:hanging="578"/>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 xml:space="preserve">LEGISLATIVE &amp; REGULATORY CONTEXT </w:t>
      </w:r>
    </w:p>
    <w:p w:rsidR="0018525A" w:rsidRPr="00822021" w:rsidRDefault="0018525A" w:rsidP="0018525A">
      <w:pPr>
        <w:pStyle w:val="NoSpacing"/>
        <w:spacing w:line="360" w:lineRule="auto"/>
        <w:ind w:left="720"/>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The Companies Act,</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 xml:space="preserve">2013 </w:t>
      </w:r>
      <w:r>
        <w:rPr>
          <w:rFonts w:ascii="Times New Roman" w:hAnsi="Times New Roman" w:cs="Times New Roman"/>
          <w:sz w:val="24"/>
          <w:szCs w:val="24"/>
          <w:lang w:val="en-US"/>
        </w:rPr>
        <w:t>a</w:t>
      </w:r>
      <w:r w:rsidRPr="00822021">
        <w:rPr>
          <w:rFonts w:ascii="Times New Roman" w:hAnsi="Times New Roman" w:cs="Times New Roman"/>
          <w:sz w:val="24"/>
          <w:szCs w:val="24"/>
          <w:lang w:val="en-US"/>
        </w:rPr>
        <w:t>nd SEBI</w:t>
      </w:r>
      <w:r>
        <w:rPr>
          <w:rFonts w:ascii="Times New Roman" w:hAnsi="Times New Roman" w:cs="Times New Roman"/>
          <w:sz w:val="24"/>
          <w:szCs w:val="24"/>
          <w:lang w:val="en-US"/>
        </w:rPr>
        <w:t>’</w:t>
      </w:r>
      <w:r w:rsidRPr="00822021">
        <w:rPr>
          <w:rFonts w:ascii="Times New Roman" w:hAnsi="Times New Roman" w:cs="Times New Roman"/>
          <w:sz w:val="24"/>
          <w:szCs w:val="24"/>
          <w:lang w:val="en-US"/>
        </w:rPr>
        <w:t>s</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Listing Obligations and Disclosures Requirements (LODR) form the backbone of corporate governance in India. Key features include:</w:t>
      </w:r>
    </w:p>
    <w:p w:rsidR="0018525A" w:rsidRPr="00822021" w:rsidRDefault="0018525A" w:rsidP="0018525A">
      <w:pPr>
        <w:pStyle w:val="NoSpacing"/>
        <w:numPr>
          <w:ilvl w:val="0"/>
          <w:numId w:val="41"/>
        </w:numPr>
        <w:spacing w:line="360" w:lineRule="auto"/>
        <w:ind w:left="993" w:hanging="142"/>
        <w:jc w:val="both"/>
        <w:rPr>
          <w:rFonts w:ascii="Times New Roman" w:hAnsi="Times New Roman" w:cs="Times New Roman"/>
          <w:sz w:val="24"/>
          <w:szCs w:val="24"/>
          <w:lang w:val="en-US"/>
        </w:rPr>
      </w:pPr>
      <w:r w:rsidRPr="00601FEB">
        <w:rPr>
          <w:rFonts w:ascii="Times New Roman" w:hAnsi="Times New Roman" w:cs="Times New Roman"/>
          <w:b/>
          <w:bCs/>
          <w:sz w:val="24"/>
          <w:szCs w:val="24"/>
          <w:lang w:val="en-US"/>
        </w:rPr>
        <w:t>Section 149:</w:t>
      </w:r>
      <w:r w:rsidRPr="00822021">
        <w:rPr>
          <w:rFonts w:ascii="Times New Roman" w:hAnsi="Times New Roman" w:cs="Times New Roman"/>
          <w:sz w:val="24"/>
          <w:szCs w:val="24"/>
          <w:lang w:val="en-US"/>
        </w:rPr>
        <w:t xml:space="preserve"> Mandatory independent directors</w:t>
      </w:r>
    </w:p>
    <w:p w:rsidR="0018525A" w:rsidRPr="00822021" w:rsidRDefault="0018525A" w:rsidP="0018525A">
      <w:pPr>
        <w:pStyle w:val="NoSpacing"/>
        <w:numPr>
          <w:ilvl w:val="0"/>
          <w:numId w:val="41"/>
        </w:numPr>
        <w:spacing w:line="360" w:lineRule="auto"/>
        <w:ind w:left="993" w:hanging="142"/>
        <w:jc w:val="both"/>
        <w:rPr>
          <w:rFonts w:ascii="Times New Roman" w:hAnsi="Times New Roman" w:cs="Times New Roman"/>
          <w:sz w:val="24"/>
          <w:szCs w:val="24"/>
          <w:lang w:val="en-US"/>
        </w:rPr>
      </w:pPr>
      <w:r w:rsidRPr="00601FEB">
        <w:rPr>
          <w:rFonts w:ascii="Times New Roman" w:hAnsi="Times New Roman" w:cs="Times New Roman"/>
          <w:b/>
          <w:bCs/>
          <w:sz w:val="24"/>
          <w:szCs w:val="24"/>
          <w:lang w:val="en-US"/>
        </w:rPr>
        <w:t>Section 177:</w:t>
      </w:r>
      <w:r w:rsidRPr="00822021">
        <w:rPr>
          <w:rFonts w:ascii="Times New Roman" w:hAnsi="Times New Roman" w:cs="Times New Roman"/>
          <w:sz w:val="24"/>
          <w:szCs w:val="24"/>
          <w:lang w:val="en-US"/>
        </w:rPr>
        <w:t xml:space="preserve"> Audit committee with oversight functions.</w:t>
      </w:r>
    </w:p>
    <w:p w:rsidR="0018525A" w:rsidRPr="00822021" w:rsidRDefault="0018525A" w:rsidP="0018525A">
      <w:pPr>
        <w:pStyle w:val="NoSpacing"/>
        <w:numPr>
          <w:ilvl w:val="0"/>
          <w:numId w:val="41"/>
        </w:numPr>
        <w:spacing w:line="360" w:lineRule="auto"/>
        <w:ind w:left="993" w:hanging="142"/>
        <w:jc w:val="both"/>
        <w:rPr>
          <w:rFonts w:ascii="Times New Roman" w:hAnsi="Times New Roman" w:cs="Times New Roman"/>
          <w:sz w:val="24"/>
          <w:szCs w:val="24"/>
          <w:lang w:val="en-US"/>
        </w:rPr>
      </w:pPr>
      <w:r w:rsidRPr="00601FEB">
        <w:rPr>
          <w:rFonts w:ascii="Times New Roman" w:hAnsi="Times New Roman" w:cs="Times New Roman"/>
          <w:b/>
          <w:bCs/>
          <w:sz w:val="24"/>
          <w:szCs w:val="24"/>
          <w:lang w:val="en-US"/>
        </w:rPr>
        <w:t>Section 166:</w:t>
      </w:r>
      <w:r w:rsidRPr="00822021">
        <w:rPr>
          <w:rFonts w:ascii="Times New Roman" w:hAnsi="Times New Roman" w:cs="Times New Roman"/>
          <w:sz w:val="24"/>
          <w:szCs w:val="24"/>
          <w:lang w:val="en-US"/>
        </w:rPr>
        <w:t xml:space="preserve"> Duties of directors, including acting in good faith and avoid</w:t>
      </w:r>
      <w:r>
        <w:rPr>
          <w:rFonts w:ascii="Times New Roman" w:hAnsi="Times New Roman" w:cs="Times New Roman"/>
          <w:sz w:val="24"/>
          <w:szCs w:val="24"/>
          <w:lang w:val="en-US"/>
        </w:rPr>
        <w:t>ing</w:t>
      </w:r>
      <w:r w:rsidRPr="00822021">
        <w:rPr>
          <w:rFonts w:ascii="Times New Roman" w:hAnsi="Times New Roman" w:cs="Times New Roman"/>
          <w:sz w:val="24"/>
          <w:szCs w:val="24"/>
          <w:lang w:val="en-US"/>
        </w:rPr>
        <w:t xml:space="preserve"> conflicts of interest.</w:t>
      </w:r>
    </w:p>
    <w:p w:rsidR="0018525A" w:rsidRPr="00207DAC" w:rsidRDefault="0018525A" w:rsidP="0018525A">
      <w:pPr>
        <w:pStyle w:val="NoSpacing"/>
        <w:numPr>
          <w:ilvl w:val="0"/>
          <w:numId w:val="41"/>
        </w:numPr>
        <w:spacing w:after="240" w:line="360" w:lineRule="auto"/>
        <w:ind w:left="993" w:hanging="142"/>
        <w:jc w:val="both"/>
        <w:rPr>
          <w:rFonts w:ascii="Times New Roman" w:hAnsi="Times New Roman" w:cs="Times New Roman"/>
          <w:sz w:val="24"/>
          <w:szCs w:val="24"/>
          <w:lang w:val="en-US"/>
        </w:rPr>
      </w:pPr>
      <w:r w:rsidRPr="00601FEB">
        <w:rPr>
          <w:rFonts w:ascii="Times New Roman" w:hAnsi="Times New Roman" w:cs="Times New Roman"/>
          <w:b/>
          <w:bCs/>
          <w:sz w:val="24"/>
          <w:szCs w:val="24"/>
          <w:lang w:val="en-US"/>
        </w:rPr>
        <w:t>SEBI LODR Regulations:</w:t>
      </w:r>
      <w:r w:rsidRPr="00822021">
        <w:rPr>
          <w:rFonts w:ascii="Times New Roman" w:hAnsi="Times New Roman" w:cs="Times New Roman"/>
          <w:sz w:val="24"/>
          <w:szCs w:val="24"/>
          <w:lang w:val="en-US"/>
        </w:rPr>
        <w:t xml:space="preserve"> Detailed norms on disclosures, related party transactions, </w:t>
      </w:r>
      <w:r>
        <w:rPr>
          <w:rFonts w:ascii="Times New Roman" w:hAnsi="Times New Roman" w:cs="Times New Roman"/>
          <w:sz w:val="24"/>
          <w:szCs w:val="24"/>
          <w:lang w:val="en-US"/>
        </w:rPr>
        <w:t xml:space="preserve">and </w:t>
      </w:r>
      <w:r w:rsidRPr="00822021">
        <w:rPr>
          <w:rFonts w:ascii="Times New Roman" w:hAnsi="Times New Roman" w:cs="Times New Roman"/>
          <w:sz w:val="24"/>
          <w:szCs w:val="24"/>
          <w:lang w:val="en-US"/>
        </w:rPr>
        <w:t>board composition.</w:t>
      </w:r>
    </w:p>
    <w:p w:rsidR="0018525A" w:rsidRPr="00207DAC" w:rsidRDefault="0018525A" w:rsidP="0018525A">
      <w:pPr>
        <w:pStyle w:val="NoSpacing"/>
        <w:numPr>
          <w:ilvl w:val="0"/>
          <w:numId w:val="34"/>
        </w:numPr>
        <w:spacing w:after="240" w:line="360" w:lineRule="auto"/>
        <w:ind w:left="709" w:hanging="567"/>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 xml:space="preserve">ANALYSIS OF GOVERNANCE PRINCIPLES FROM THE CASES </w:t>
      </w:r>
    </w:p>
    <w:p w:rsidR="0018525A" w:rsidRPr="00601FEB" w:rsidRDefault="0018525A" w:rsidP="0018525A">
      <w:pPr>
        <w:pStyle w:val="NoSpacing"/>
        <w:spacing w:line="360" w:lineRule="auto"/>
        <w:ind w:left="709"/>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Fiduciary Duties</w:t>
      </w:r>
      <w:r>
        <w:rPr>
          <w:rFonts w:ascii="Times New Roman" w:hAnsi="Times New Roman" w:cs="Times New Roman"/>
          <w:b/>
          <w:bCs/>
          <w:sz w:val="24"/>
          <w:szCs w:val="24"/>
          <w:lang w:val="en-US"/>
        </w:rPr>
        <w:t xml:space="preserve">: </w:t>
      </w:r>
      <w:r w:rsidRPr="00822021">
        <w:rPr>
          <w:rFonts w:ascii="Times New Roman" w:hAnsi="Times New Roman" w:cs="Times New Roman"/>
          <w:sz w:val="24"/>
          <w:szCs w:val="24"/>
          <w:lang w:val="en-US"/>
        </w:rPr>
        <w:t>Both cases highlight that directors</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fiduciary duties extend beyond statutory compliance, encompassing good faith and fairness towards all shareholders.</w:t>
      </w:r>
    </w:p>
    <w:p w:rsidR="0018525A" w:rsidRPr="00601FEB" w:rsidRDefault="0018525A" w:rsidP="0018525A">
      <w:pPr>
        <w:pStyle w:val="NoSpacing"/>
        <w:spacing w:line="360" w:lineRule="auto"/>
        <w:ind w:left="709"/>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Shareholders Democracy vs. Board Autonomy</w:t>
      </w:r>
      <w:r>
        <w:rPr>
          <w:rFonts w:ascii="Times New Roman" w:hAnsi="Times New Roman" w:cs="Times New Roman"/>
          <w:b/>
          <w:bCs/>
          <w:sz w:val="24"/>
          <w:szCs w:val="24"/>
          <w:lang w:val="en-US"/>
        </w:rPr>
        <w:t xml:space="preserve">: </w:t>
      </w:r>
      <w:r w:rsidRPr="00822021">
        <w:rPr>
          <w:rFonts w:ascii="Times New Roman" w:hAnsi="Times New Roman" w:cs="Times New Roman"/>
          <w:sz w:val="24"/>
          <w:szCs w:val="24"/>
          <w:lang w:val="en-US"/>
        </w:rPr>
        <w:t>The Tata case reinforced board autonomy but cautioned against oppressive conduct, while Sahara emphasized shareholder and investor rights in capital rising.</w:t>
      </w:r>
    </w:p>
    <w:p w:rsidR="0018525A" w:rsidRPr="00601FEB" w:rsidRDefault="0018525A" w:rsidP="0018525A">
      <w:pPr>
        <w:pStyle w:val="NoSpacing"/>
        <w:spacing w:line="360" w:lineRule="auto"/>
        <w:ind w:left="709"/>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Roles of Regulators</w:t>
      </w:r>
      <w:r>
        <w:rPr>
          <w:rFonts w:ascii="Times New Roman" w:hAnsi="Times New Roman" w:cs="Times New Roman"/>
          <w:b/>
          <w:bCs/>
          <w:sz w:val="24"/>
          <w:szCs w:val="24"/>
          <w:lang w:val="en-US"/>
        </w:rPr>
        <w:t xml:space="preserve">: </w:t>
      </w:r>
      <w:r w:rsidRPr="00822021">
        <w:rPr>
          <w:rFonts w:ascii="Times New Roman" w:hAnsi="Times New Roman" w:cs="Times New Roman"/>
          <w:sz w:val="24"/>
          <w:szCs w:val="24"/>
          <w:lang w:val="en-US"/>
        </w:rPr>
        <w:t>The Sahara judgment significantly enhanced SEBI</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s enforcement powers, while the Tata case illustrated </w:t>
      </w:r>
      <w:r>
        <w:rPr>
          <w:rFonts w:ascii="Times New Roman" w:hAnsi="Times New Roman" w:cs="Times New Roman"/>
          <w:sz w:val="24"/>
          <w:szCs w:val="24"/>
          <w:lang w:val="en-US"/>
        </w:rPr>
        <w:t xml:space="preserve">the </w:t>
      </w:r>
      <w:r w:rsidRPr="00822021">
        <w:rPr>
          <w:rFonts w:ascii="Times New Roman" w:hAnsi="Times New Roman" w:cs="Times New Roman"/>
          <w:sz w:val="24"/>
          <w:szCs w:val="24"/>
          <w:lang w:val="en-US"/>
        </w:rPr>
        <w:t>limits of judicial intrusion in business decisions.</w:t>
      </w:r>
    </w:p>
    <w:p w:rsidR="0018525A" w:rsidRPr="00601FEB" w:rsidRDefault="0018525A" w:rsidP="0018525A">
      <w:pPr>
        <w:pStyle w:val="NoSpacing"/>
        <w:spacing w:after="240" w:line="360" w:lineRule="auto"/>
        <w:ind w:left="709"/>
        <w:jc w:val="both"/>
        <w:rPr>
          <w:rFonts w:ascii="Times New Roman" w:hAnsi="Times New Roman" w:cs="Times New Roman"/>
          <w:sz w:val="24"/>
          <w:szCs w:val="24"/>
          <w:lang w:val="en-US"/>
        </w:rPr>
      </w:pPr>
      <w:r w:rsidRPr="00207DAC">
        <w:rPr>
          <w:rFonts w:ascii="Times New Roman" w:hAnsi="Times New Roman" w:cs="Times New Roman"/>
          <w:b/>
          <w:bCs/>
          <w:sz w:val="24"/>
          <w:szCs w:val="24"/>
          <w:lang w:val="en-US"/>
        </w:rPr>
        <w:t>Ethical Governance</w:t>
      </w:r>
      <w:r>
        <w:rPr>
          <w:rFonts w:ascii="Times New Roman" w:hAnsi="Times New Roman" w:cs="Times New Roman"/>
          <w:b/>
          <w:bCs/>
          <w:sz w:val="24"/>
          <w:szCs w:val="24"/>
          <w:lang w:val="en-US"/>
        </w:rPr>
        <w:t xml:space="preserve">: </w:t>
      </w:r>
      <w:r w:rsidRPr="00822021">
        <w:rPr>
          <w:rFonts w:ascii="Times New Roman" w:hAnsi="Times New Roman" w:cs="Times New Roman"/>
          <w:sz w:val="24"/>
          <w:szCs w:val="24"/>
          <w:lang w:val="en-US"/>
        </w:rPr>
        <w:t>Both cases reflect that ethical consideration</w:t>
      </w:r>
      <w:r>
        <w:rPr>
          <w:rFonts w:ascii="Times New Roman" w:hAnsi="Times New Roman" w:cs="Times New Roman"/>
          <w:sz w:val="24"/>
          <w:szCs w:val="24"/>
          <w:lang w:val="en-US"/>
        </w:rPr>
        <w:t>s</w:t>
      </w:r>
      <w:r w:rsidRPr="00822021">
        <w:rPr>
          <w:rFonts w:ascii="Times New Roman" w:hAnsi="Times New Roman" w:cs="Times New Roman"/>
          <w:sz w:val="24"/>
          <w:szCs w:val="24"/>
          <w:lang w:val="en-US"/>
        </w:rPr>
        <w:t xml:space="preserve"> are inseparable from legal compliance, as violations can damage corporate reputation and stakeholders</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trust.</w:t>
      </w:r>
    </w:p>
    <w:p w:rsidR="0018525A" w:rsidRPr="00207DAC" w:rsidRDefault="0018525A" w:rsidP="0018525A">
      <w:pPr>
        <w:pStyle w:val="NoSpacing"/>
        <w:numPr>
          <w:ilvl w:val="0"/>
          <w:numId w:val="34"/>
        </w:numPr>
        <w:spacing w:after="240" w:line="360" w:lineRule="auto"/>
        <w:ind w:hanging="578"/>
        <w:jc w:val="both"/>
        <w:rPr>
          <w:rFonts w:ascii="Times New Roman" w:hAnsi="Times New Roman" w:cs="Times New Roman"/>
          <w:b/>
          <w:bCs/>
          <w:sz w:val="24"/>
          <w:szCs w:val="24"/>
          <w:lang w:val="en-US"/>
        </w:rPr>
      </w:pPr>
      <w:r w:rsidRPr="00207DAC">
        <w:rPr>
          <w:rFonts w:ascii="Times New Roman" w:hAnsi="Times New Roman" w:cs="Times New Roman"/>
          <w:b/>
          <w:bCs/>
          <w:sz w:val="24"/>
          <w:szCs w:val="24"/>
          <w:lang w:val="en-US"/>
        </w:rPr>
        <w:t>COMPARATIVE PERSPECTIVE</w:t>
      </w:r>
    </w:p>
    <w:p w:rsidR="0018525A" w:rsidRPr="00822021" w:rsidRDefault="0018525A" w:rsidP="0018525A">
      <w:pPr>
        <w:pStyle w:val="NoSpacing"/>
        <w:spacing w:after="240" w:line="360" w:lineRule="auto"/>
        <w:ind w:left="720"/>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lastRenderedPageBreak/>
        <w:t>Internationally, corporate governance frameworks such as the UK</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Corporate Governance Code and the OECD Principles</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stress transparency,</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accountability and stakeholder engagement. Indian jurisprudence is gradually aligning with these norms,</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as evidenced by the Supreme Court’s emphasis on fair dealing and investor protection.</w:t>
      </w:r>
    </w:p>
    <w:p w:rsidR="0018525A" w:rsidRPr="00601FEB" w:rsidRDefault="0018525A" w:rsidP="0018525A">
      <w:pPr>
        <w:pStyle w:val="NoSpacing"/>
        <w:numPr>
          <w:ilvl w:val="0"/>
          <w:numId w:val="34"/>
        </w:numPr>
        <w:spacing w:after="240" w:line="360" w:lineRule="auto"/>
        <w:ind w:hanging="720"/>
        <w:jc w:val="both"/>
        <w:rPr>
          <w:rFonts w:ascii="Times New Roman" w:hAnsi="Times New Roman" w:cs="Times New Roman"/>
          <w:b/>
          <w:bCs/>
          <w:sz w:val="24"/>
          <w:szCs w:val="24"/>
          <w:lang w:val="en-US"/>
        </w:rPr>
      </w:pPr>
      <w:r w:rsidRPr="00601FEB">
        <w:rPr>
          <w:rFonts w:ascii="Times New Roman" w:hAnsi="Times New Roman" w:cs="Times New Roman"/>
          <w:b/>
          <w:bCs/>
          <w:sz w:val="24"/>
          <w:szCs w:val="24"/>
          <w:lang w:val="en-US"/>
        </w:rPr>
        <w:t xml:space="preserve">CONCLUSION </w:t>
      </w:r>
    </w:p>
    <w:p w:rsidR="0018525A" w:rsidRPr="00822021" w:rsidRDefault="0018525A" w:rsidP="0018525A">
      <w:pPr>
        <w:pStyle w:val="NoSpacing"/>
        <w:spacing w:line="360" w:lineRule="auto"/>
        <w:ind w:left="720"/>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 xml:space="preserve">The Tata and Sahara cases collectively highlighted the judiciary’s role in shaping corporate governance in India. While Tata underscores boardroom autonomy and the sanctity of internal governance mechanisms, Sahara </w:t>
      </w:r>
      <w:proofErr w:type="spellStart"/>
      <w:r w:rsidRPr="00822021">
        <w:rPr>
          <w:rFonts w:ascii="Times New Roman" w:hAnsi="Times New Roman" w:cs="Times New Roman"/>
          <w:sz w:val="24"/>
          <w:szCs w:val="24"/>
          <w:lang w:val="en-US"/>
        </w:rPr>
        <w:t>prioriti</w:t>
      </w:r>
      <w:r>
        <w:rPr>
          <w:rFonts w:ascii="Times New Roman" w:hAnsi="Times New Roman" w:cs="Times New Roman"/>
          <w:sz w:val="24"/>
          <w:szCs w:val="24"/>
          <w:lang w:val="en-US"/>
        </w:rPr>
        <w:t>s</w:t>
      </w:r>
      <w:r w:rsidRPr="00822021">
        <w:rPr>
          <w:rFonts w:ascii="Times New Roman" w:hAnsi="Times New Roman" w:cs="Times New Roman"/>
          <w:sz w:val="24"/>
          <w:szCs w:val="24"/>
          <w:lang w:val="en-US"/>
        </w:rPr>
        <w:t>es</w:t>
      </w:r>
      <w:proofErr w:type="spellEnd"/>
      <w:r w:rsidRPr="00822021">
        <w:rPr>
          <w:rFonts w:ascii="Times New Roman" w:hAnsi="Times New Roman" w:cs="Times New Roman"/>
          <w:sz w:val="24"/>
          <w:szCs w:val="24"/>
          <w:lang w:val="en-US"/>
        </w:rPr>
        <w:t xml:space="preserve"> investor protection and regulatory compliance. Together, they reinforce that corporate governance is not merely a compliance exercise but a continuous process of balancing </w:t>
      </w:r>
      <w:proofErr w:type="gramStart"/>
      <w:r w:rsidRPr="00822021">
        <w:rPr>
          <w:rFonts w:ascii="Times New Roman" w:hAnsi="Times New Roman" w:cs="Times New Roman"/>
          <w:sz w:val="24"/>
          <w:szCs w:val="24"/>
          <w:lang w:val="en-US"/>
        </w:rPr>
        <w:t>power,</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responsibility</w:t>
      </w:r>
      <w:proofErr w:type="gramEnd"/>
      <w:r w:rsidRPr="00822021">
        <w:rPr>
          <w:rFonts w:ascii="Times New Roman" w:hAnsi="Times New Roman" w:cs="Times New Roman"/>
          <w:sz w:val="24"/>
          <w:szCs w:val="24"/>
          <w:lang w:val="en-US"/>
        </w:rPr>
        <w:t>,</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and accountability.</w:t>
      </w: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Default="0018525A" w:rsidP="0018525A">
      <w:pPr>
        <w:pStyle w:val="NoSpacing"/>
        <w:spacing w:line="360" w:lineRule="auto"/>
        <w:ind w:left="72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72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720"/>
        <w:jc w:val="both"/>
        <w:rPr>
          <w:rFonts w:ascii="Times New Roman" w:hAnsi="Times New Roman" w:cs="Times New Roman"/>
          <w:sz w:val="24"/>
          <w:szCs w:val="24"/>
          <w:lang w:val="en-US"/>
        </w:rPr>
      </w:pPr>
    </w:p>
    <w:p w:rsidR="0018525A" w:rsidRPr="001577BC" w:rsidRDefault="0018525A" w:rsidP="0018525A">
      <w:pPr>
        <w:pStyle w:val="NoSpacing"/>
        <w:spacing w:line="360" w:lineRule="auto"/>
        <w:ind w:left="720"/>
        <w:jc w:val="both"/>
        <w:rPr>
          <w:rFonts w:ascii="Times New Roman" w:hAnsi="Times New Roman" w:cs="Times New Roman"/>
          <w:b/>
          <w:bCs/>
          <w:sz w:val="24"/>
          <w:szCs w:val="24"/>
          <w:lang w:val="en-US"/>
        </w:rPr>
      </w:pPr>
      <w:r w:rsidRPr="001577BC">
        <w:rPr>
          <w:rFonts w:ascii="Times New Roman" w:hAnsi="Times New Roman" w:cs="Times New Roman"/>
          <w:b/>
          <w:bCs/>
          <w:sz w:val="24"/>
          <w:szCs w:val="24"/>
          <w:lang w:val="en-US"/>
        </w:rPr>
        <w:t xml:space="preserve">REFERENCES </w:t>
      </w:r>
    </w:p>
    <w:p w:rsidR="0018525A" w:rsidRPr="00822021" w:rsidRDefault="0018525A" w:rsidP="0018525A">
      <w:pPr>
        <w:pStyle w:val="NoSpacing"/>
        <w:numPr>
          <w:ilvl w:val="0"/>
          <w:numId w:val="35"/>
        </w:numPr>
        <w:spacing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Tata Consultancy Services Limited v</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Cyrus Investment Pvt</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Ltd</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(2021)9 SCC 499</w:t>
      </w:r>
    </w:p>
    <w:p w:rsidR="0018525A" w:rsidRPr="00822021" w:rsidRDefault="0018525A" w:rsidP="0018525A">
      <w:pPr>
        <w:pStyle w:val="NoSpacing"/>
        <w:numPr>
          <w:ilvl w:val="0"/>
          <w:numId w:val="35"/>
        </w:numPr>
        <w:spacing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SEBI v Sahara India Real Estate Corporation Ltd</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 xml:space="preserve">(2013) 1 SCC 1 </w:t>
      </w:r>
    </w:p>
    <w:p w:rsidR="0018525A" w:rsidRPr="00822021" w:rsidRDefault="0018525A" w:rsidP="0018525A">
      <w:pPr>
        <w:pStyle w:val="NoSpacing"/>
        <w:numPr>
          <w:ilvl w:val="0"/>
          <w:numId w:val="35"/>
        </w:numPr>
        <w:spacing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Companies Act</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2013</w:t>
      </w:r>
    </w:p>
    <w:p w:rsidR="0018525A" w:rsidRPr="00822021" w:rsidRDefault="0018525A" w:rsidP="0018525A">
      <w:pPr>
        <w:pStyle w:val="NoSpacing"/>
        <w:numPr>
          <w:ilvl w:val="0"/>
          <w:numId w:val="35"/>
        </w:numPr>
        <w:spacing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Securities and Exchange Board of India Regulations</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2015</w:t>
      </w:r>
    </w:p>
    <w:p w:rsidR="0018525A" w:rsidRPr="00822021" w:rsidRDefault="0018525A" w:rsidP="0018525A">
      <w:pPr>
        <w:pStyle w:val="NoSpacing"/>
        <w:numPr>
          <w:ilvl w:val="0"/>
          <w:numId w:val="35"/>
        </w:numPr>
        <w:spacing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Organization for Economic Co- operation and Development,</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G-20/OECD Principles of Corporate Governance (2015)</w:t>
      </w:r>
    </w:p>
    <w:p w:rsidR="0018525A" w:rsidRPr="00822021" w:rsidRDefault="0018525A" w:rsidP="0018525A">
      <w:pPr>
        <w:pStyle w:val="NoSpacing"/>
        <w:numPr>
          <w:ilvl w:val="0"/>
          <w:numId w:val="35"/>
        </w:numPr>
        <w:spacing w:line="360" w:lineRule="auto"/>
        <w:ind w:left="709"/>
        <w:jc w:val="both"/>
        <w:rPr>
          <w:rFonts w:ascii="Times New Roman" w:hAnsi="Times New Roman" w:cs="Times New Roman"/>
          <w:sz w:val="24"/>
          <w:szCs w:val="24"/>
          <w:lang w:val="en-US"/>
        </w:rPr>
      </w:pPr>
      <w:r w:rsidRPr="00822021">
        <w:rPr>
          <w:rFonts w:ascii="Times New Roman" w:hAnsi="Times New Roman" w:cs="Times New Roman"/>
          <w:sz w:val="24"/>
          <w:szCs w:val="24"/>
          <w:lang w:val="en-US"/>
        </w:rPr>
        <w:t xml:space="preserve">Umakanth </w:t>
      </w:r>
      <w:proofErr w:type="spellStart"/>
      <w:r w:rsidRPr="00822021">
        <w:rPr>
          <w:rFonts w:ascii="Times New Roman" w:hAnsi="Times New Roman" w:cs="Times New Roman"/>
          <w:sz w:val="24"/>
          <w:szCs w:val="24"/>
          <w:lang w:val="en-US"/>
        </w:rPr>
        <w:t>Varottil</w:t>
      </w:r>
      <w:proofErr w:type="spellEnd"/>
      <w:r w:rsidRPr="00822021">
        <w:rPr>
          <w:rFonts w:ascii="Times New Roman" w:hAnsi="Times New Roman" w:cs="Times New Roman"/>
          <w:sz w:val="24"/>
          <w:szCs w:val="24"/>
          <w:lang w:val="en-US"/>
        </w:rPr>
        <w:t>,’ Corporate Governance in India. The Evolving</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Legal framework ‘(2018)   8NUJS L</w:t>
      </w:r>
      <w:r>
        <w:rPr>
          <w:rFonts w:ascii="Times New Roman" w:hAnsi="Times New Roman" w:cs="Times New Roman"/>
          <w:sz w:val="24"/>
          <w:szCs w:val="24"/>
          <w:lang w:val="en-US"/>
        </w:rPr>
        <w:t xml:space="preserve">. </w:t>
      </w:r>
      <w:r w:rsidRPr="00822021">
        <w:rPr>
          <w:rFonts w:ascii="Times New Roman" w:hAnsi="Times New Roman" w:cs="Times New Roman"/>
          <w:sz w:val="24"/>
          <w:szCs w:val="24"/>
          <w:lang w:val="en-US"/>
        </w:rPr>
        <w:t>Rev</w:t>
      </w:r>
      <w:r>
        <w:rPr>
          <w:rFonts w:ascii="Times New Roman" w:hAnsi="Times New Roman" w:cs="Times New Roman"/>
          <w:sz w:val="24"/>
          <w:szCs w:val="24"/>
          <w:lang w:val="en-US"/>
        </w:rPr>
        <w:t>.</w:t>
      </w:r>
      <w:r w:rsidRPr="00822021">
        <w:rPr>
          <w:rFonts w:ascii="Times New Roman" w:hAnsi="Times New Roman" w:cs="Times New Roman"/>
          <w:sz w:val="24"/>
          <w:szCs w:val="24"/>
          <w:lang w:val="en-US"/>
        </w:rPr>
        <w:t xml:space="preserve"> 119</w:t>
      </w:r>
    </w:p>
    <w:p w:rsidR="0018525A" w:rsidRPr="00822021" w:rsidRDefault="0018525A" w:rsidP="0018525A">
      <w:pPr>
        <w:pStyle w:val="NoSpacing"/>
        <w:spacing w:line="360" w:lineRule="auto"/>
        <w:ind w:left="108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72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72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72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72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72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216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216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216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216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1440"/>
        <w:jc w:val="both"/>
        <w:rPr>
          <w:rFonts w:ascii="Times New Roman" w:hAnsi="Times New Roman" w:cs="Times New Roman"/>
          <w:sz w:val="24"/>
          <w:szCs w:val="24"/>
          <w:lang w:val="en-US"/>
        </w:rPr>
      </w:pPr>
    </w:p>
    <w:p w:rsidR="0018525A" w:rsidRPr="00822021" w:rsidRDefault="0018525A" w:rsidP="0018525A">
      <w:pPr>
        <w:pStyle w:val="NoSpacing"/>
        <w:spacing w:line="360" w:lineRule="auto"/>
        <w:ind w:left="1440"/>
        <w:jc w:val="both"/>
        <w:rPr>
          <w:rFonts w:ascii="Times New Roman" w:hAnsi="Times New Roman" w:cs="Times New Roman"/>
          <w:sz w:val="24"/>
          <w:szCs w:val="24"/>
          <w:lang w:val="en-US"/>
        </w:rPr>
      </w:pPr>
    </w:p>
    <w:p w:rsidR="0018525A" w:rsidRPr="00822021" w:rsidRDefault="0018525A" w:rsidP="0018525A">
      <w:pPr>
        <w:pStyle w:val="ListParagraph"/>
        <w:spacing w:line="360" w:lineRule="auto"/>
        <w:jc w:val="both"/>
        <w:rPr>
          <w:rFonts w:ascii="Times New Roman" w:hAnsi="Times New Roman" w:cs="Times New Roman"/>
          <w:sz w:val="24"/>
          <w:szCs w:val="24"/>
          <w:lang w:val="en-US"/>
        </w:rPr>
      </w:pPr>
    </w:p>
    <w:p w:rsidR="0018525A" w:rsidRPr="00822021" w:rsidRDefault="0018525A" w:rsidP="0018525A">
      <w:pPr>
        <w:pStyle w:val="ListParagraph"/>
        <w:spacing w:line="360" w:lineRule="auto"/>
        <w:jc w:val="both"/>
        <w:rPr>
          <w:rFonts w:ascii="Times New Roman" w:hAnsi="Times New Roman" w:cs="Times New Roman"/>
          <w:sz w:val="24"/>
          <w:szCs w:val="24"/>
          <w:lang w:val="en-US"/>
        </w:rPr>
      </w:pPr>
    </w:p>
    <w:p w:rsidR="0018525A" w:rsidRPr="00822021" w:rsidRDefault="0018525A" w:rsidP="0018525A">
      <w:pPr>
        <w:spacing w:line="360" w:lineRule="auto"/>
        <w:jc w:val="both"/>
        <w:rPr>
          <w:rFonts w:ascii="Times New Roman" w:hAnsi="Times New Roman" w:cs="Times New Roman"/>
          <w:sz w:val="24"/>
          <w:szCs w:val="24"/>
          <w:lang w:val="en-US"/>
        </w:rPr>
      </w:pPr>
    </w:p>
    <w:p w:rsidR="0018525A" w:rsidRPr="00822021" w:rsidRDefault="0018525A" w:rsidP="0018525A">
      <w:pPr>
        <w:spacing w:line="360" w:lineRule="auto"/>
        <w:jc w:val="both"/>
        <w:rPr>
          <w:rFonts w:ascii="Times New Roman" w:hAnsi="Times New Roman" w:cs="Times New Roman"/>
          <w:sz w:val="24"/>
          <w:szCs w:val="24"/>
          <w:lang w:val="en-US"/>
        </w:rPr>
      </w:pPr>
    </w:p>
    <w:p w:rsidR="0018525A" w:rsidRPr="00822021" w:rsidRDefault="0018525A" w:rsidP="0018525A">
      <w:pPr>
        <w:spacing w:line="360" w:lineRule="auto"/>
        <w:jc w:val="both"/>
        <w:rPr>
          <w:rFonts w:ascii="Times New Roman" w:hAnsi="Times New Roman" w:cs="Times New Roman"/>
          <w:sz w:val="24"/>
          <w:szCs w:val="24"/>
          <w:lang w:val="en-US"/>
        </w:rPr>
      </w:pPr>
    </w:p>
    <w:p w:rsidR="0018525A" w:rsidRPr="00822021" w:rsidRDefault="0018525A" w:rsidP="0018525A">
      <w:pPr>
        <w:spacing w:line="360" w:lineRule="auto"/>
        <w:jc w:val="both"/>
        <w:rPr>
          <w:rFonts w:ascii="Times New Roman" w:hAnsi="Times New Roman" w:cs="Times New Roman"/>
          <w:sz w:val="24"/>
          <w:szCs w:val="24"/>
          <w:lang w:val="en-US"/>
        </w:rPr>
      </w:pPr>
    </w:p>
    <w:p w:rsidR="0018525A" w:rsidRPr="00822021" w:rsidRDefault="0018525A" w:rsidP="0018525A">
      <w:pPr>
        <w:spacing w:line="360" w:lineRule="auto"/>
        <w:jc w:val="both"/>
        <w:rPr>
          <w:rFonts w:ascii="Times New Roman" w:hAnsi="Times New Roman" w:cs="Times New Roman"/>
          <w:sz w:val="24"/>
          <w:szCs w:val="24"/>
          <w:lang w:val="en-US"/>
        </w:rPr>
      </w:pPr>
    </w:p>
    <w:p w:rsidR="0018525A" w:rsidRPr="00822021" w:rsidRDefault="0018525A" w:rsidP="0018525A">
      <w:pPr>
        <w:spacing w:line="360" w:lineRule="auto"/>
        <w:jc w:val="both"/>
        <w:rPr>
          <w:rFonts w:ascii="Times New Roman" w:hAnsi="Times New Roman" w:cs="Times New Roman"/>
          <w:sz w:val="24"/>
          <w:szCs w:val="24"/>
          <w:lang w:val="en-US"/>
        </w:rPr>
      </w:pPr>
    </w:p>
    <w:p w:rsidR="0018525A" w:rsidRPr="00822021" w:rsidRDefault="0018525A" w:rsidP="0018525A">
      <w:pPr>
        <w:spacing w:line="360" w:lineRule="auto"/>
        <w:jc w:val="both"/>
        <w:rPr>
          <w:rFonts w:ascii="Times New Roman" w:hAnsi="Times New Roman" w:cs="Times New Roman"/>
          <w:sz w:val="24"/>
          <w:szCs w:val="24"/>
          <w:lang w:val="en-US"/>
        </w:rPr>
      </w:pPr>
    </w:p>
    <w:p w:rsidR="0018525A" w:rsidRPr="00822021" w:rsidRDefault="0018525A" w:rsidP="0018525A">
      <w:pPr>
        <w:spacing w:line="360" w:lineRule="auto"/>
        <w:jc w:val="both"/>
        <w:rPr>
          <w:rFonts w:ascii="Times New Roman" w:hAnsi="Times New Roman" w:cs="Times New Roman"/>
          <w:sz w:val="24"/>
          <w:szCs w:val="24"/>
          <w:lang w:val="en-US"/>
        </w:rPr>
      </w:pPr>
    </w:p>
    <w:p w:rsidR="00C93578" w:rsidRPr="0018525A" w:rsidRDefault="00C93578" w:rsidP="0018525A"/>
    <w:sectPr w:rsidR="00C93578" w:rsidRPr="0018525A">
      <w:headerReference w:type="even" r:id="rId8"/>
      <w:headerReference w:type="default" r:id="rId9"/>
      <w:footerReference w:type="even" r:id="rId10"/>
      <w:footerReference w:type="default" r:id="rId11"/>
      <w:headerReference w:type="firs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808FA" w:rsidRDefault="00D808FA" w:rsidP="00C05FED">
      <w:pPr>
        <w:spacing w:after="0" w:line="240" w:lineRule="auto"/>
      </w:pPr>
      <w:r>
        <w:separator/>
      </w:r>
    </w:p>
  </w:endnote>
  <w:endnote w:type="continuationSeparator" w:id="0">
    <w:p w:rsidR="00D808FA" w:rsidRDefault="00D808FA" w:rsidP="00C0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MT">
    <w:altName w:val="Arial"/>
    <w:panose1 w:val="020B0604020202020204"/>
    <w:charset w:val="01"/>
    <w:family w:val="swiss"/>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702973955"/>
      <w:docPartObj>
        <w:docPartGallery w:val="Page Numbers (Bottom of Page)"/>
        <w:docPartUnique/>
      </w:docPartObj>
    </w:sdtPr>
    <w:sdtContent>
      <w:p w:rsidR="00C93578" w:rsidRDefault="00C93578" w:rsidP="00A56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C93578" w:rsidRDefault="00C93578" w:rsidP="00C9357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84747782"/>
      <w:docPartObj>
        <w:docPartGallery w:val="Page Numbers (Bottom of Page)"/>
        <w:docPartUnique/>
      </w:docPartObj>
    </w:sdtPr>
    <w:sdtContent>
      <w:p w:rsidR="00C93578" w:rsidRDefault="00C93578" w:rsidP="00A565C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C93578" w:rsidRDefault="00C93578" w:rsidP="00C9357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808FA" w:rsidRDefault="00D808FA" w:rsidP="00C05FED">
      <w:pPr>
        <w:spacing w:after="0" w:line="240" w:lineRule="auto"/>
      </w:pPr>
      <w:r>
        <w:separator/>
      </w:r>
    </w:p>
  </w:footnote>
  <w:footnote w:type="continuationSeparator" w:id="0">
    <w:p w:rsidR="00D808FA" w:rsidRDefault="00D808FA" w:rsidP="00C05FED">
      <w:pPr>
        <w:spacing w:after="0" w:line="240" w:lineRule="auto"/>
      </w:pPr>
      <w:r>
        <w:continuationSeparator/>
      </w:r>
    </w:p>
  </w:footnote>
  <w:footnote w:id="1">
    <w:p w:rsidR="0018525A" w:rsidRPr="001577BC" w:rsidRDefault="0018525A" w:rsidP="0018525A">
      <w:pPr>
        <w:pStyle w:val="FootnoteText"/>
        <w:rPr>
          <w:rFonts w:ascii="Times New Roman" w:hAnsi="Times New Roman" w:cs="Times New Roman"/>
          <w:lang w:val="en-US"/>
        </w:rPr>
      </w:pPr>
      <w:r w:rsidRPr="001577BC">
        <w:rPr>
          <w:rStyle w:val="FootnoteReference"/>
          <w:rFonts w:ascii="Times New Roman" w:hAnsi="Times New Roman" w:cs="Times New Roman"/>
        </w:rPr>
        <w:footnoteRef/>
      </w:r>
      <w:r w:rsidRPr="001577BC">
        <w:rPr>
          <w:rFonts w:ascii="Times New Roman" w:hAnsi="Times New Roman" w:cs="Times New Roman"/>
        </w:rPr>
        <w:t xml:space="preserve"> </w:t>
      </w:r>
      <w:r w:rsidRPr="001577BC">
        <w:rPr>
          <w:rFonts w:ascii="Times New Roman" w:hAnsi="Times New Roman" w:cs="Times New Roman"/>
          <w:lang w:val="en-US"/>
        </w:rPr>
        <w:t>The author is a law student at IMS Law College Nodia.</w:t>
      </w:r>
    </w:p>
  </w:footnote>
  <w:footnote w:id="2">
    <w:p w:rsidR="0018525A" w:rsidRPr="001577BC" w:rsidRDefault="0018525A" w:rsidP="0018525A">
      <w:pPr>
        <w:pStyle w:val="FootnoteText"/>
        <w:rPr>
          <w:rFonts w:ascii="Times New Roman" w:hAnsi="Times New Roman" w:cs="Times New Roman"/>
          <w:lang w:val="en-US"/>
        </w:rPr>
      </w:pPr>
      <w:r w:rsidRPr="001577BC">
        <w:rPr>
          <w:rStyle w:val="FootnoteReference"/>
          <w:rFonts w:ascii="Times New Roman" w:hAnsi="Times New Roman" w:cs="Times New Roman"/>
        </w:rPr>
        <w:footnoteRef/>
      </w:r>
      <w:r w:rsidRPr="001577BC">
        <w:rPr>
          <w:rFonts w:ascii="Times New Roman" w:hAnsi="Times New Roman" w:cs="Times New Roman"/>
        </w:rPr>
        <w:t xml:space="preserve"> </w:t>
      </w:r>
      <w:r w:rsidRPr="001577BC">
        <w:rPr>
          <w:rFonts w:ascii="Times New Roman" w:hAnsi="Times New Roman" w:cs="Times New Roman"/>
          <w:lang w:val="en-US"/>
        </w:rPr>
        <w:t>Tata Consultancy Services Limited v. Cyrus Investment Pvt Ltd (2021)9 SCC 499</w:t>
      </w:r>
    </w:p>
  </w:footnote>
  <w:footnote w:id="3">
    <w:p w:rsidR="0018525A" w:rsidRPr="001577BC" w:rsidRDefault="0018525A" w:rsidP="0018525A">
      <w:pPr>
        <w:pStyle w:val="NoSpacing"/>
        <w:spacing w:line="360" w:lineRule="auto"/>
        <w:jc w:val="both"/>
        <w:rPr>
          <w:rFonts w:ascii="Times New Roman" w:hAnsi="Times New Roman" w:cs="Times New Roman"/>
          <w:sz w:val="20"/>
          <w:szCs w:val="20"/>
          <w:lang w:val="en-US"/>
        </w:rPr>
      </w:pPr>
      <w:r w:rsidRPr="001577BC">
        <w:rPr>
          <w:rStyle w:val="FootnoteReference"/>
          <w:rFonts w:ascii="Times New Roman" w:hAnsi="Times New Roman" w:cs="Times New Roman"/>
          <w:sz w:val="20"/>
          <w:szCs w:val="20"/>
        </w:rPr>
        <w:footnoteRef/>
      </w:r>
      <w:r w:rsidRPr="001577BC">
        <w:rPr>
          <w:rFonts w:ascii="Times New Roman" w:hAnsi="Times New Roman" w:cs="Times New Roman"/>
          <w:sz w:val="20"/>
          <w:szCs w:val="20"/>
        </w:rPr>
        <w:t xml:space="preserve"> </w:t>
      </w:r>
      <w:r w:rsidRPr="001577BC">
        <w:rPr>
          <w:rFonts w:ascii="Times New Roman" w:hAnsi="Times New Roman" w:cs="Times New Roman"/>
          <w:sz w:val="20"/>
          <w:szCs w:val="20"/>
          <w:lang w:val="en-US"/>
        </w:rPr>
        <w:t>SEBI v</w:t>
      </w:r>
      <w:r>
        <w:rPr>
          <w:rFonts w:ascii="Times New Roman" w:hAnsi="Times New Roman" w:cs="Times New Roman"/>
          <w:sz w:val="20"/>
          <w:szCs w:val="20"/>
          <w:lang w:val="en-US"/>
        </w:rPr>
        <w:t>.</w:t>
      </w:r>
      <w:r w:rsidRPr="001577BC">
        <w:rPr>
          <w:rFonts w:ascii="Times New Roman" w:hAnsi="Times New Roman" w:cs="Times New Roman"/>
          <w:sz w:val="20"/>
          <w:szCs w:val="20"/>
          <w:lang w:val="en-US"/>
        </w:rPr>
        <w:t xml:space="preserve"> Sahara India Real Estate Corporation Ltd</w:t>
      </w:r>
      <w:r>
        <w:rPr>
          <w:rFonts w:ascii="Times New Roman" w:hAnsi="Times New Roman" w:cs="Times New Roman"/>
          <w:sz w:val="20"/>
          <w:szCs w:val="20"/>
          <w:lang w:val="en-US"/>
        </w:rPr>
        <w:t xml:space="preserve"> </w:t>
      </w:r>
      <w:r w:rsidRPr="001577BC">
        <w:rPr>
          <w:rFonts w:ascii="Times New Roman" w:hAnsi="Times New Roman" w:cs="Times New Roman"/>
          <w:sz w:val="20"/>
          <w:szCs w:val="20"/>
          <w:lang w:val="en-US"/>
        </w:rPr>
        <w:t>(2013) 1 SCC 1</w:t>
      </w:r>
      <w:r>
        <w:rPr>
          <w:rFonts w:ascii="Times New Roman" w:hAnsi="Times New Roman" w:cs="Times New Roman"/>
          <w:sz w:val="20"/>
          <w:szCs w:val="20"/>
          <w:lang w:val="en-US"/>
        </w:rPr>
        <w:t>.</w:t>
      </w:r>
      <w:r w:rsidRPr="001577BC">
        <w:rPr>
          <w:rFonts w:ascii="Times New Roman" w:hAnsi="Times New Roman" w:cs="Times New Roman"/>
          <w:sz w:val="20"/>
          <w:szCs w:val="20"/>
          <w:lang w:val="en-US"/>
        </w:rPr>
        <w:t xml:space="preserve"> </w:t>
      </w:r>
    </w:p>
    <w:p w:rsidR="0018525A" w:rsidRPr="001577BC" w:rsidRDefault="0018525A" w:rsidP="0018525A">
      <w:pPr>
        <w:pStyle w:val="FootnoteText"/>
        <w:rPr>
          <w:rFonts w:ascii="Times New Roman" w:hAnsi="Times New Roman" w:cs="Times New Roman"/>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3578" w:rsidRDefault="004A0D8B">
    <w:pPr>
      <w:pStyle w:val="Header"/>
    </w:pPr>
    <w:r>
      <w:rPr>
        <w:noProof/>
      </w:rPr>
      <w:drawing>
        <wp:anchor distT="0" distB="0" distL="114300" distR="114300" simplePos="0" relativeHeight="251656704" behindDoc="1" locked="0" layoutInCell="0" allowOverlap="1" wp14:anchorId="7753C400">
          <wp:simplePos x="0" y="0"/>
          <wp:positionH relativeFrom="margin">
            <wp:align>center</wp:align>
          </wp:positionH>
          <wp:positionV relativeFrom="margin">
            <wp:align>center</wp:align>
          </wp:positionV>
          <wp:extent cx="5730240" cy="5088255"/>
          <wp:effectExtent l="0" t="0" r="0" b="0"/>
          <wp:wrapNone/>
          <wp:docPr id="3"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0240" cy="50882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3578" w:rsidRPr="001609AD" w:rsidRDefault="004A0D8B">
    <w:pPr>
      <w:pStyle w:val="Header"/>
      <w:rPr>
        <w:rFonts w:ascii="Times New Roman" w:hAnsi="Times New Roman" w:cs="Times New Roman"/>
        <w:b/>
        <w:bCs/>
        <w:smallCaps/>
        <w:sz w:val="20"/>
        <w:szCs w:val="20"/>
        <w:lang w:val="en-US"/>
      </w:rPr>
    </w:pPr>
    <w:r>
      <w:rPr>
        <w:rFonts w:ascii="Times New Roman" w:hAnsi="Times New Roman" w:cs="Times New Roman"/>
        <w:smallCaps/>
        <w:noProof/>
        <w:sz w:val="20"/>
        <w:szCs w:val="20"/>
        <w:lang w:val="en-US"/>
      </w:rPr>
      <w:drawing>
        <wp:anchor distT="0" distB="0" distL="114300" distR="114300" simplePos="0" relativeHeight="251657728" behindDoc="1" locked="0" layoutInCell="0" allowOverlap="1" wp14:anchorId="11ACBFB8">
          <wp:simplePos x="0" y="0"/>
          <wp:positionH relativeFrom="margin">
            <wp:align>center</wp:align>
          </wp:positionH>
          <wp:positionV relativeFrom="margin">
            <wp:align>center</wp:align>
          </wp:positionV>
          <wp:extent cx="5730240" cy="5088255"/>
          <wp:effectExtent l="0" t="0" r="0" b="0"/>
          <wp:wrapNone/>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30240" cy="5088255"/>
                  </a:xfrm>
                  <a:prstGeom prst="rect">
                    <a:avLst/>
                  </a:prstGeom>
                  <a:noFill/>
                </pic:spPr>
              </pic:pic>
            </a:graphicData>
          </a:graphic>
          <wp14:sizeRelH relativeFrom="page">
            <wp14:pctWidth>0</wp14:pctWidth>
          </wp14:sizeRelH>
          <wp14:sizeRelV relativeFrom="page">
            <wp14:pctHeight>0</wp14:pctHeight>
          </wp14:sizeRelV>
        </wp:anchor>
      </w:drawing>
    </w:r>
    <w:r w:rsidR="00C93578" w:rsidRPr="00C93578">
      <w:rPr>
        <w:rFonts w:ascii="Times New Roman" w:hAnsi="Times New Roman" w:cs="Times New Roman"/>
        <w:smallCaps/>
        <w:sz w:val="20"/>
        <w:szCs w:val="20"/>
        <w:lang w:val="en-US"/>
      </w:rPr>
      <w:t xml:space="preserve">Indian Journal of Legal Research and Review </w:t>
    </w:r>
    <w:r>
      <w:rPr>
        <w:rFonts w:ascii="Times New Roman" w:hAnsi="Times New Roman" w:cs="Times New Roman"/>
        <w:smallCaps/>
        <w:sz w:val="20"/>
        <w:szCs w:val="20"/>
        <w:lang w:val="en-US"/>
      </w:rPr>
      <w:t>(</w:t>
    </w:r>
    <w:proofErr w:type="gramStart"/>
    <w:r>
      <w:rPr>
        <w:rFonts w:ascii="Times New Roman" w:hAnsi="Times New Roman" w:cs="Times New Roman"/>
        <w:smallCaps/>
        <w:sz w:val="20"/>
        <w:szCs w:val="20"/>
        <w:lang w:val="en-US"/>
      </w:rPr>
      <w:t xml:space="preserve">IJLRR)   </w:t>
    </w:r>
    <w:proofErr w:type="gramEnd"/>
    <w:r>
      <w:rPr>
        <w:rFonts w:ascii="Times New Roman" w:hAnsi="Times New Roman" w:cs="Times New Roman"/>
        <w:smallCaps/>
        <w:sz w:val="20"/>
        <w:szCs w:val="20"/>
        <w:lang w:val="en-US"/>
      </w:rPr>
      <w:t xml:space="preserve">                                  </w:t>
    </w:r>
    <w:r w:rsidRPr="001609AD">
      <w:rPr>
        <w:rFonts w:ascii="Times New Roman" w:hAnsi="Times New Roman" w:cs="Times New Roman"/>
        <w:b/>
        <w:bCs/>
        <w:smallCaps/>
        <w:sz w:val="20"/>
        <w:szCs w:val="20"/>
        <w:lang w:val="en-US"/>
      </w:rPr>
      <w:t>DOI:</w:t>
    </w:r>
    <w:r w:rsidRPr="001609AD">
      <w:rPr>
        <w:b/>
        <w:bC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C93578" w:rsidRDefault="00D808FA">
    <w:pPr>
      <w:pStyle w:val="Header"/>
    </w:pPr>
    <w:r>
      <w:rPr>
        <w:noProof/>
      </w:rPr>
      <w:pict w14:anchorId="208BBC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51.2pt;height:400.65pt;z-index:-251657728;mso-wrap-edited:f;mso-width-percent:0;mso-height-percent:0;mso-position-horizontal:center;mso-position-horizontal-relative:margin;mso-position-vertical:center;mso-position-vertical-relative:margin;mso-width-percent:0;mso-height-percent:0" o:allowincell="f">
          <v:imagedata r:id="rId1" o:title="journal logo final"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3F68A1"/>
    <w:multiLevelType w:val="hybridMultilevel"/>
    <w:tmpl w:val="4FB087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A883AC1"/>
    <w:multiLevelType w:val="hybridMultilevel"/>
    <w:tmpl w:val="5CD23C3E"/>
    <w:lvl w:ilvl="0" w:tplc="78AA8BB4">
      <w:start w:val="1"/>
      <w:numFmt w:val="lowerRoman"/>
      <w:lvlText w:val="%1."/>
      <w:lvlJc w:val="right"/>
      <w:pPr>
        <w:ind w:left="2160" w:hanging="360"/>
      </w:pPr>
      <w:rPr>
        <w:rFonts w:hint="default"/>
        <w:b/>
        <w:bCs/>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 w15:restartNumberingAfterBreak="0">
    <w:nsid w:val="106D674D"/>
    <w:multiLevelType w:val="hybridMultilevel"/>
    <w:tmpl w:val="621891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9812776"/>
    <w:multiLevelType w:val="hybridMultilevel"/>
    <w:tmpl w:val="8154F4B2"/>
    <w:lvl w:ilvl="0" w:tplc="080C1276">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E805E87"/>
    <w:multiLevelType w:val="hybridMultilevel"/>
    <w:tmpl w:val="EBF6E0F2"/>
    <w:lvl w:ilvl="0" w:tplc="E4A65442">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0E07A35"/>
    <w:multiLevelType w:val="hybridMultilevel"/>
    <w:tmpl w:val="48425992"/>
    <w:lvl w:ilvl="0" w:tplc="BC28CCF4">
      <w:start w:val="1"/>
      <w:numFmt w:val="decimal"/>
      <w:lvlText w:val="%1."/>
      <w:lvlJc w:val="left"/>
      <w:pPr>
        <w:ind w:left="45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39328978">
      <w:numFmt w:val="bullet"/>
      <w:lvlText w:val="•"/>
      <w:lvlJc w:val="left"/>
      <w:pPr>
        <w:ind w:left="1450" w:hanging="360"/>
      </w:pPr>
      <w:rPr>
        <w:rFonts w:hint="default"/>
        <w:lang w:val="en-US" w:eastAsia="en-US" w:bidi="ar-SA"/>
      </w:rPr>
    </w:lvl>
    <w:lvl w:ilvl="2" w:tplc="28802184">
      <w:numFmt w:val="bullet"/>
      <w:lvlText w:val="•"/>
      <w:lvlJc w:val="left"/>
      <w:pPr>
        <w:ind w:left="2440" w:hanging="360"/>
      </w:pPr>
      <w:rPr>
        <w:rFonts w:hint="default"/>
        <w:lang w:val="en-US" w:eastAsia="en-US" w:bidi="ar-SA"/>
      </w:rPr>
    </w:lvl>
    <w:lvl w:ilvl="3" w:tplc="2758D9F6">
      <w:numFmt w:val="bullet"/>
      <w:lvlText w:val="•"/>
      <w:lvlJc w:val="left"/>
      <w:pPr>
        <w:ind w:left="3430" w:hanging="360"/>
      </w:pPr>
      <w:rPr>
        <w:rFonts w:hint="default"/>
        <w:lang w:val="en-US" w:eastAsia="en-US" w:bidi="ar-SA"/>
      </w:rPr>
    </w:lvl>
    <w:lvl w:ilvl="4" w:tplc="56381A3E">
      <w:numFmt w:val="bullet"/>
      <w:lvlText w:val="•"/>
      <w:lvlJc w:val="left"/>
      <w:pPr>
        <w:ind w:left="4420" w:hanging="360"/>
      </w:pPr>
      <w:rPr>
        <w:rFonts w:hint="default"/>
        <w:lang w:val="en-US" w:eastAsia="en-US" w:bidi="ar-SA"/>
      </w:rPr>
    </w:lvl>
    <w:lvl w:ilvl="5" w:tplc="03ECEF32">
      <w:numFmt w:val="bullet"/>
      <w:lvlText w:val="•"/>
      <w:lvlJc w:val="left"/>
      <w:pPr>
        <w:ind w:left="5411" w:hanging="360"/>
      </w:pPr>
      <w:rPr>
        <w:rFonts w:hint="default"/>
        <w:lang w:val="en-US" w:eastAsia="en-US" w:bidi="ar-SA"/>
      </w:rPr>
    </w:lvl>
    <w:lvl w:ilvl="6" w:tplc="EE8C2034">
      <w:numFmt w:val="bullet"/>
      <w:lvlText w:val="•"/>
      <w:lvlJc w:val="left"/>
      <w:pPr>
        <w:ind w:left="6401" w:hanging="360"/>
      </w:pPr>
      <w:rPr>
        <w:rFonts w:hint="default"/>
        <w:lang w:val="en-US" w:eastAsia="en-US" w:bidi="ar-SA"/>
      </w:rPr>
    </w:lvl>
    <w:lvl w:ilvl="7" w:tplc="D612EF58">
      <w:numFmt w:val="bullet"/>
      <w:lvlText w:val="•"/>
      <w:lvlJc w:val="left"/>
      <w:pPr>
        <w:ind w:left="7391" w:hanging="360"/>
      </w:pPr>
      <w:rPr>
        <w:rFonts w:hint="default"/>
        <w:lang w:val="en-US" w:eastAsia="en-US" w:bidi="ar-SA"/>
      </w:rPr>
    </w:lvl>
    <w:lvl w:ilvl="8" w:tplc="9DF44AF2">
      <w:numFmt w:val="bullet"/>
      <w:lvlText w:val="•"/>
      <w:lvlJc w:val="left"/>
      <w:pPr>
        <w:ind w:left="8381" w:hanging="360"/>
      </w:pPr>
      <w:rPr>
        <w:rFonts w:hint="default"/>
        <w:lang w:val="en-US" w:eastAsia="en-US" w:bidi="ar-SA"/>
      </w:rPr>
    </w:lvl>
  </w:abstractNum>
  <w:abstractNum w:abstractNumId="6" w15:restartNumberingAfterBreak="0">
    <w:nsid w:val="23593A1E"/>
    <w:multiLevelType w:val="hybridMultilevel"/>
    <w:tmpl w:val="BDC238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4BF7508"/>
    <w:multiLevelType w:val="hybridMultilevel"/>
    <w:tmpl w:val="EC1A6274"/>
    <w:lvl w:ilvl="0" w:tplc="74F4421E">
      <w:numFmt w:val="bullet"/>
      <w:lvlText w:val=""/>
      <w:lvlJc w:val="left"/>
      <w:pPr>
        <w:ind w:left="720" w:hanging="360"/>
      </w:pPr>
      <w:rPr>
        <w:rFonts w:hint="default"/>
        <w:w w:val="101"/>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9F01CF9"/>
    <w:multiLevelType w:val="hybridMultilevel"/>
    <w:tmpl w:val="3A6CCF6A"/>
    <w:lvl w:ilvl="0" w:tplc="9BE4147A">
      <w:start w:val="1"/>
      <w:numFmt w:val="lowerRoman"/>
      <w:lvlText w:val="%1."/>
      <w:lvlJc w:val="left"/>
      <w:pPr>
        <w:ind w:left="720" w:hanging="360"/>
      </w:pPr>
      <w:rPr>
        <w:rFonts w:ascii="Times New Roman" w:eastAsia="Times New Roman" w:hAnsi="Times New Roman" w:cs="Times New Roman"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2AF95D3F"/>
    <w:multiLevelType w:val="multilevel"/>
    <w:tmpl w:val="5AEA2772"/>
    <w:lvl w:ilvl="0">
      <w:start w:val="1"/>
      <w:numFmt w:val="upperRoman"/>
      <w:lvlText w:val="%1."/>
      <w:lvlJc w:val="left"/>
      <w:pPr>
        <w:ind w:left="720" w:hanging="360"/>
      </w:pPr>
      <w:rPr>
        <w:rFonts w:hint="default"/>
        <w:b/>
        <w:bCs w:val="0"/>
        <w:sz w:val="24"/>
        <w:szCs w:val="24"/>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0" w15:restartNumberingAfterBreak="0">
    <w:nsid w:val="2D7C2F44"/>
    <w:multiLevelType w:val="hybridMultilevel"/>
    <w:tmpl w:val="E7485C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1D43E4B"/>
    <w:multiLevelType w:val="hybridMultilevel"/>
    <w:tmpl w:val="8314FE5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6F806A9"/>
    <w:multiLevelType w:val="hybridMultilevel"/>
    <w:tmpl w:val="D4C87D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88D30AE"/>
    <w:multiLevelType w:val="hybridMultilevel"/>
    <w:tmpl w:val="7A7AF92A"/>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14" w15:restartNumberingAfterBreak="0">
    <w:nsid w:val="390D5568"/>
    <w:multiLevelType w:val="hybridMultilevel"/>
    <w:tmpl w:val="68A0237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11169FC"/>
    <w:multiLevelType w:val="multilevel"/>
    <w:tmpl w:val="4E82309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3A272ED"/>
    <w:multiLevelType w:val="hybridMultilevel"/>
    <w:tmpl w:val="121ACB66"/>
    <w:lvl w:ilvl="0" w:tplc="74F4421E">
      <w:numFmt w:val="bullet"/>
      <w:lvlText w:val=""/>
      <w:lvlJc w:val="left"/>
      <w:pPr>
        <w:ind w:left="720" w:hanging="360"/>
      </w:pPr>
      <w:rPr>
        <w:rFonts w:hint="default"/>
        <w:w w:val="101"/>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48180577"/>
    <w:multiLevelType w:val="hybridMultilevel"/>
    <w:tmpl w:val="9B442B6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ADD3AA1"/>
    <w:multiLevelType w:val="hybridMultilevel"/>
    <w:tmpl w:val="8082963E"/>
    <w:lvl w:ilvl="0" w:tplc="47BE901A">
      <w:start w:val="1"/>
      <w:numFmt w:val="upperLetter"/>
      <w:lvlText w:val="%1."/>
      <w:lvlJc w:val="right"/>
      <w:pPr>
        <w:ind w:left="1429" w:hanging="360"/>
      </w:pPr>
      <w:rPr>
        <w:rFonts w:ascii="Times New Roman" w:hAnsi="Times New Roman" w:hint="default"/>
        <w:b/>
        <w:bCs/>
      </w:rPr>
    </w:lvl>
    <w:lvl w:ilvl="1" w:tplc="08090019">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19" w15:restartNumberingAfterBreak="0">
    <w:nsid w:val="4BB92A6C"/>
    <w:multiLevelType w:val="hybridMultilevel"/>
    <w:tmpl w:val="475CE03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4E706FD0"/>
    <w:multiLevelType w:val="hybridMultilevel"/>
    <w:tmpl w:val="42369BD4"/>
    <w:lvl w:ilvl="0" w:tplc="AD2E5AA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4ED034E0"/>
    <w:multiLevelType w:val="hybridMultilevel"/>
    <w:tmpl w:val="463CDAA8"/>
    <w:lvl w:ilvl="0" w:tplc="40090001">
      <w:start w:val="1"/>
      <w:numFmt w:val="bullet"/>
      <w:lvlText w:val=""/>
      <w:lvlJc w:val="left"/>
      <w:pPr>
        <w:ind w:left="578" w:hanging="360"/>
      </w:pPr>
      <w:rPr>
        <w:rFonts w:ascii="Symbol" w:hAnsi="Symbol" w:hint="default"/>
      </w:rPr>
    </w:lvl>
    <w:lvl w:ilvl="1" w:tplc="40090003" w:tentative="1">
      <w:start w:val="1"/>
      <w:numFmt w:val="bullet"/>
      <w:lvlText w:val="o"/>
      <w:lvlJc w:val="left"/>
      <w:pPr>
        <w:ind w:left="1298" w:hanging="360"/>
      </w:pPr>
      <w:rPr>
        <w:rFonts w:ascii="Courier New" w:hAnsi="Courier New" w:cs="Courier New" w:hint="default"/>
      </w:rPr>
    </w:lvl>
    <w:lvl w:ilvl="2" w:tplc="40090005" w:tentative="1">
      <w:start w:val="1"/>
      <w:numFmt w:val="bullet"/>
      <w:lvlText w:val=""/>
      <w:lvlJc w:val="left"/>
      <w:pPr>
        <w:ind w:left="2018" w:hanging="360"/>
      </w:pPr>
      <w:rPr>
        <w:rFonts w:ascii="Wingdings" w:hAnsi="Wingdings" w:hint="default"/>
      </w:rPr>
    </w:lvl>
    <w:lvl w:ilvl="3" w:tplc="40090001" w:tentative="1">
      <w:start w:val="1"/>
      <w:numFmt w:val="bullet"/>
      <w:lvlText w:val=""/>
      <w:lvlJc w:val="left"/>
      <w:pPr>
        <w:ind w:left="2738" w:hanging="360"/>
      </w:pPr>
      <w:rPr>
        <w:rFonts w:ascii="Symbol" w:hAnsi="Symbol" w:hint="default"/>
      </w:rPr>
    </w:lvl>
    <w:lvl w:ilvl="4" w:tplc="40090003" w:tentative="1">
      <w:start w:val="1"/>
      <w:numFmt w:val="bullet"/>
      <w:lvlText w:val="o"/>
      <w:lvlJc w:val="left"/>
      <w:pPr>
        <w:ind w:left="3458" w:hanging="360"/>
      </w:pPr>
      <w:rPr>
        <w:rFonts w:ascii="Courier New" w:hAnsi="Courier New" w:cs="Courier New" w:hint="default"/>
      </w:rPr>
    </w:lvl>
    <w:lvl w:ilvl="5" w:tplc="40090005" w:tentative="1">
      <w:start w:val="1"/>
      <w:numFmt w:val="bullet"/>
      <w:lvlText w:val=""/>
      <w:lvlJc w:val="left"/>
      <w:pPr>
        <w:ind w:left="4178" w:hanging="360"/>
      </w:pPr>
      <w:rPr>
        <w:rFonts w:ascii="Wingdings" w:hAnsi="Wingdings" w:hint="default"/>
      </w:rPr>
    </w:lvl>
    <w:lvl w:ilvl="6" w:tplc="40090001" w:tentative="1">
      <w:start w:val="1"/>
      <w:numFmt w:val="bullet"/>
      <w:lvlText w:val=""/>
      <w:lvlJc w:val="left"/>
      <w:pPr>
        <w:ind w:left="4898" w:hanging="360"/>
      </w:pPr>
      <w:rPr>
        <w:rFonts w:ascii="Symbol" w:hAnsi="Symbol" w:hint="default"/>
      </w:rPr>
    </w:lvl>
    <w:lvl w:ilvl="7" w:tplc="40090003" w:tentative="1">
      <w:start w:val="1"/>
      <w:numFmt w:val="bullet"/>
      <w:lvlText w:val="o"/>
      <w:lvlJc w:val="left"/>
      <w:pPr>
        <w:ind w:left="5618" w:hanging="360"/>
      </w:pPr>
      <w:rPr>
        <w:rFonts w:ascii="Courier New" w:hAnsi="Courier New" w:cs="Courier New" w:hint="default"/>
      </w:rPr>
    </w:lvl>
    <w:lvl w:ilvl="8" w:tplc="40090005" w:tentative="1">
      <w:start w:val="1"/>
      <w:numFmt w:val="bullet"/>
      <w:lvlText w:val=""/>
      <w:lvlJc w:val="left"/>
      <w:pPr>
        <w:ind w:left="6338" w:hanging="360"/>
      </w:pPr>
      <w:rPr>
        <w:rFonts w:ascii="Wingdings" w:hAnsi="Wingdings" w:hint="default"/>
      </w:rPr>
    </w:lvl>
  </w:abstractNum>
  <w:abstractNum w:abstractNumId="22" w15:restartNumberingAfterBreak="0">
    <w:nsid w:val="51FB5D06"/>
    <w:multiLevelType w:val="hybridMultilevel"/>
    <w:tmpl w:val="0C80F05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2071B0F"/>
    <w:multiLevelType w:val="hybridMultilevel"/>
    <w:tmpl w:val="AD90DDB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53A3609A"/>
    <w:multiLevelType w:val="hybridMultilevel"/>
    <w:tmpl w:val="981627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53E361B3"/>
    <w:multiLevelType w:val="hybridMultilevel"/>
    <w:tmpl w:val="ABBCD4E2"/>
    <w:lvl w:ilvl="0" w:tplc="1A4C232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6" w15:restartNumberingAfterBreak="0">
    <w:nsid w:val="54A04EC0"/>
    <w:multiLevelType w:val="hybridMultilevel"/>
    <w:tmpl w:val="AFB42078"/>
    <w:lvl w:ilvl="0" w:tplc="40090001">
      <w:start w:val="1"/>
      <w:numFmt w:val="bullet"/>
      <w:lvlText w:val=""/>
      <w:lvlJc w:val="left"/>
      <w:pPr>
        <w:ind w:left="862" w:hanging="360"/>
      </w:pPr>
      <w:rPr>
        <w:rFonts w:ascii="Symbol" w:hAnsi="Symbol" w:hint="default"/>
      </w:rPr>
    </w:lvl>
    <w:lvl w:ilvl="1" w:tplc="40090003" w:tentative="1">
      <w:start w:val="1"/>
      <w:numFmt w:val="bullet"/>
      <w:lvlText w:val="o"/>
      <w:lvlJc w:val="left"/>
      <w:pPr>
        <w:ind w:left="1582" w:hanging="360"/>
      </w:pPr>
      <w:rPr>
        <w:rFonts w:ascii="Courier New" w:hAnsi="Courier New" w:cs="Courier New" w:hint="default"/>
      </w:rPr>
    </w:lvl>
    <w:lvl w:ilvl="2" w:tplc="40090005" w:tentative="1">
      <w:start w:val="1"/>
      <w:numFmt w:val="bullet"/>
      <w:lvlText w:val=""/>
      <w:lvlJc w:val="left"/>
      <w:pPr>
        <w:ind w:left="2302" w:hanging="360"/>
      </w:pPr>
      <w:rPr>
        <w:rFonts w:ascii="Wingdings" w:hAnsi="Wingdings" w:hint="default"/>
      </w:rPr>
    </w:lvl>
    <w:lvl w:ilvl="3" w:tplc="40090001" w:tentative="1">
      <w:start w:val="1"/>
      <w:numFmt w:val="bullet"/>
      <w:lvlText w:val=""/>
      <w:lvlJc w:val="left"/>
      <w:pPr>
        <w:ind w:left="3022" w:hanging="360"/>
      </w:pPr>
      <w:rPr>
        <w:rFonts w:ascii="Symbol" w:hAnsi="Symbol" w:hint="default"/>
      </w:rPr>
    </w:lvl>
    <w:lvl w:ilvl="4" w:tplc="40090003" w:tentative="1">
      <w:start w:val="1"/>
      <w:numFmt w:val="bullet"/>
      <w:lvlText w:val="o"/>
      <w:lvlJc w:val="left"/>
      <w:pPr>
        <w:ind w:left="3742" w:hanging="360"/>
      </w:pPr>
      <w:rPr>
        <w:rFonts w:ascii="Courier New" w:hAnsi="Courier New" w:cs="Courier New" w:hint="default"/>
      </w:rPr>
    </w:lvl>
    <w:lvl w:ilvl="5" w:tplc="40090005" w:tentative="1">
      <w:start w:val="1"/>
      <w:numFmt w:val="bullet"/>
      <w:lvlText w:val=""/>
      <w:lvlJc w:val="left"/>
      <w:pPr>
        <w:ind w:left="4462" w:hanging="360"/>
      </w:pPr>
      <w:rPr>
        <w:rFonts w:ascii="Wingdings" w:hAnsi="Wingdings" w:hint="default"/>
      </w:rPr>
    </w:lvl>
    <w:lvl w:ilvl="6" w:tplc="40090001" w:tentative="1">
      <w:start w:val="1"/>
      <w:numFmt w:val="bullet"/>
      <w:lvlText w:val=""/>
      <w:lvlJc w:val="left"/>
      <w:pPr>
        <w:ind w:left="5182" w:hanging="360"/>
      </w:pPr>
      <w:rPr>
        <w:rFonts w:ascii="Symbol" w:hAnsi="Symbol" w:hint="default"/>
      </w:rPr>
    </w:lvl>
    <w:lvl w:ilvl="7" w:tplc="40090003" w:tentative="1">
      <w:start w:val="1"/>
      <w:numFmt w:val="bullet"/>
      <w:lvlText w:val="o"/>
      <w:lvlJc w:val="left"/>
      <w:pPr>
        <w:ind w:left="5902" w:hanging="360"/>
      </w:pPr>
      <w:rPr>
        <w:rFonts w:ascii="Courier New" w:hAnsi="Courier New" w:cs="Courier New" w:hint="default"/>
      </w:rPr>
    </w:lvl>
    <w:lvl w:ilvl="8" w:tplc="40090005" w:tentative="1">
      <w:start w:val="1"/>
      <w:numFmt w:val="bullet"/>
      <w:lvlText w:val=""/>
      <w:lvlJc w:val="left"/>
      <w:pPr>
        <w:ind w:left="6622" w:hanging="360"/>
      </w:pPr>
      <w:rPr>
        <w:rFonts w:ascii="Wingdings" w:hAnsi="Wingdings" w:hint="default"/>
      </w:rPr>
    </w:lvl>
  </w:abstractNum>
  <w:abstractNum w:abstractNumId="27" w15:restartNumberingAfterBreak="0">
    <w:nsid w:val="5ECA3492"/>
    <w:multiLevelType w:val="hybridMultilevel"/>
    <w:tmpl w:val="292871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612F1497"/>
    <w:multiLevelType w:val="hybridMultilevel"/>
    <w:tmpl w:val="4C8E3E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618C795A"/>
    <w:multiLevelType w:val="multilevel"/>
    <w:tmpl w:val="631EC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2F93B4E"/>
    <w:multiLevelType w:val="hybridMultilevel"/>
    <w:tmpl w:val="B4D4ACE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67CC449D"/>
    <w:multiLevelType w:val="hybridMultilevel"/>
    <w:tmpl w:val="01CA07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32F118B"/>
    <w:multiLevelType w:val="hybridMultilevel"/>
    <w:tmpl w:val="27203C6C"/>
    <w:lvl w:ilvl="0" w:tplc="8DB4D2C4">
      <w:start w:val="1"/>
      <w:numFmt w:val="lowerRoman"/>
      <w:lvlText w:val="%1."/>
      <w:lvlJc w:val="right"/>
      <w:pPr>
        <w:ind w:left="1440" w:hanging="360"/>
      </w:pPr>
      <w:rPr>
        <w:rFonts w:hint="default"/>
        <w:b/>
        <w:bCs/>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3" w15:restartNumberingAfterBreak="0">
    <w:nsid w:val="74430B31"/>
    <w:multiLevelType w:val="hybridMultilevel"/>
    <w:tmpl w:val="FB94274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4D27654"/>
    <w:multiLevelType w:val="hybridMultilevel"/>
    <w:tmpl w:val="7054E5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765219D"/>
    <w:multiLevelType w:val="hybridMultilevel"/>
    <w:tmpl w:val="4A227ECE"/>
    <w:lvl w:ilvl="0" w:tplc="0274760E">
      <w:start w:val="1"/>
      <w:numFmt w:val="lowerRoman"/>
      <w:lvlText w:val="%1."/>
      <w:lvlJc w:val="right"/>
      <w:pPr>
        <w:ind w:left="2160" w:hanging="360"/>
      </w:pPr>
      <w:rPr>
        <w:rFonts w:hint="default"/>
        <w:b/>
        <w:bCs/>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6" w15:restartNumberingAfterBreak="0">
    <w:nsid w:val="79435B87"/>
    <w:multiLevelType w:val="hybridMultilevel"/>
    <w:tmpl w:val="34CA86E6"/>
    <w:lvl w:ilvl="0" w:tplc="46DE174A">
      <w:start w:val="1"/>
      <w:numFmt w:val="lowerRoman"/>
      <w:lvlText w:val="%1."/>
      <w:lvlJc w:val="left"/>
      <w:pPr>
        <w:ind w:left="2160" w:hanging="360"/>
      </w:pPr>
      <w:rPr>
        <w:rFonts w:ascii="Times New Roman" w:eastAsia="Times New Roman" w:hAnsi="Times New Roman" w:cs="Times New Roman"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37" w15:restartNumberingAfterBreak="0">
    <w:nsid w:val="7A141AD3"/>
    <w:multiLevelType w:val="hybridMultilevel"/>
    <w:tmpl w:val="A2BEC036"/>
    <w:lvl w:ilvl="0" w:tplc="8884D7C6">
      <w:start w:val="1"/>
      <w:numFmt w:val="decimal"/>
      <w:lvlText w:val="%1."/>
      <w:lvlJc w:val="left"/>
      <w:pPr>
        <w:ind w:left="455" w:hanging="360"/>
        <w:jc w:val="left"/>
      </w:pPr>
      <w:rPr>
        <w:rFonts w:ascii="Times New Roman" w:eastAsia="Times New Roman" w:hAnsi="Times New Roman" w:cs="Times New Roman" w:hint="default"/>
        <w:b w:val="0"/>
        <w:bCs w:val="0"/>
        <w:i w:val="0"/>
        <w:iCs w:val="0"/>
        <w:spacing w:val="0"/>
        <w:w w:val="100"/>
        <w:sz w:val="24"/>
        <w:szCs w:val="24"/>
        <w:lang w:val="en-US" w:eastAsia="en-US" w:bidi="ar-SA"/>
      </w:rPr>
    </w:lvl>
    <w:lvl w:ilvl="1" w:tplc="78909210">
      <w:numFmt w:val="bullet"/>
      <w:lvlText w:val="•"/>
      <w:lvlJc w:val="left"/>
      <w:pPr>
        <w:ind w:left="1450" w:hanging="360"/>
      </w:pPr>
      <w:rPr>
        <w:rFonts w:hint="default"/>
        <w:lang w:val="en-US" w:eastAsia="en-US" w:bidi="ar-SA"/>
      </w:rPr>
    </w:lvl>
    <w:lvl w:ilvl="2" w:tplc="D430EFFA">
      <w:numFmt w:val="bullet"/>
      <w:lvlText w:val="•"/>
      <w:lvlJc w:val="left"/>
      <w:pPr>
        <w:ind w:left="2440" w:hanging="360"/>
      </w:pPr>
      <w:rPr>
        <w:rFonts w:hint="default"/>
        <w:lang w:val="en-US" w:eastAsia="en-US" w:bidi="ar-SA"/>
      </w:rPr>
    </w:lvl>
    <w:lvl w:ilvl="3" w:tplc="DB142376">
      <w:numFmt w:val="bullet"/>
      <w:lvlText w:val="•"/>
      <w:lvlJc w:val="left"/>
      <w:pPr>
        <w:ind w:left="3430" w:hanging="360"/>
      </w:pPr>
      <w:rPr>
        <w:rFonts w:hint="default"/>
        <w:lang w:val="en-US" w:eastAsia="en-US" w:bidi="ar-SA"/>
      </w:rPr>
    </w:lvl>
    <w:lvl w:ilvl="4" w:tplc="E3B6746C">
      <w:numFmt w:val="bullet"/>
      <w:lvlText w:val="•"/>
      <w:lvlJc w:val="left"/>
      <w:pPr>
        <w:ind w:left="4420" w:hanging="360"/>
      </w:pPr>
      <w:rPr>
        <w:rFonts w:hint="default"/>
        <w:lang w:val="en-US" w:eastAsia="en-US" w:bidi="ar-SA"/>
      </w:rPr>
    </w:lvl>
    <w:lvl w:ilvl="5" w:tplc="CDB65072">
      <w:numFmt w:val="bullet"/>
      <w:lvlText w:val="•"/>
      <w:lvlJc w:val="left"/>
      <w:pPr>
        <w:ind w:left="5411" w:hanging="360"/>
      </w:pPr>
      <w:rPr>
        <w:rFonts w:hint="default"/>
        <w:lang w:val="en-US" w:eastAsia="en-US" w:bidi="ar-SA"/>
      </w:rPr>
    </w:lvl>
    <w:lvl w:ilvl="6" w:tplc="7A2C615C">
      <w:numFmt w:val="bullet"/>
      <w:lvlText w:val="•"/>
      <w:lvlJc w:val="left"/>
      <w:pPr>
        <w:ind w:left="6401" w:hanging="360"/>
      </w:pPr>
      <w:rPr>
        <w:rFonts w:hint="default"/>
        <w:lang w:val="en-US" w:eastAsia="en-US" w:bidi="ar-SA"/>
      </w:rPr>
    </w:lvl>
    <w:lvl w:ilvl="7" w:tplc="7CE00174">
      <w:numFmt w:val="bullet"/>
      <w:lvlText w:val="•"/>
      <w:lvlJc w:val="left"/>
      <w:pPr>
        <w:ind w:left="7391" w:hanging="360"/>
      </w:pPr>
      <w:rPr>
        <w:rFonts w:hint="default"/>
        <w:lang w:val="en-US" w:eastAsia="en-US" w:bidi="ar-SA"/>
      </w:rPr>
    </w:lvl>
    <w:lvl w:ilvl="8" w:tplc="33023914">
      <w:numFmt w:val="bullet"/>
      <w:lvlText w:val="•"/>
      <w:lvlJc w:val="left"/>
      <w:pPr>
        <w:ind w:left="8381" w:hanging="360"/>
      </w:pPr>
      <w:rPr>
        <w:rFonts w:hint="default"/>
        <w:lang w:val="en-US" w:eastAsia="en-US" w:bidi="ar-SA"/>
      </w:rPr>
    </w:lvl>
  </w:abstractNum>
  <w:abstractNum w:abstractNumId="38" w15:restartNumberingAfterBreak="0">
    <w:nsid w:val="7B827290"/>
    <w:multiLevelType w:val="hybridMultilevel"/>
    <w:tmpl w:val="24D8DA1A"/>
    <w:lvl w:ilvl="0" w:tplc="EA647F0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7D003E5D"/>
    <w:multiLevelType w:val="hybridMultilevel"/>
    <w:tmpl w:val="571C271E"/>
    <w:lvl w:ilvl="0" w:tplc="063EFC2E">
      <w:start w:val="1"/>
      <w:numFmt w:val="decimal"/>
      <w:lvlText w:val="%1."/>
      <w:lvlJc w:val="left"/>
      <w:pPr>
        <w:ind w:left="305" w:hanging="285"/>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1" w:tplc="100012D8">
      <w:numFmt w:val="bullet"/>
      <w:lvlText w:val="●"/>
      <w:lvlJc w:val="left"/>
      <w:pPr>
        <w:ind w:left="455" w:hanging="360"/>
      </w:pPr>
      <w:rPr>
        <w:rFonts w:ascii="Arial MT" w:eastAsia="Arial MT" w:hAnsi="Arial MT" w:cs="Arial MT" w:hint="default"/>
        <w:b w:val="0"/>
        <w:bCs w:val="0"/>
        <w:i w:val="0"/>
        <w:iCs w:val="0"/>
        <w:spacing w:val="0"/>
        <w:w w:val="60"/>
        <w:sz w:val="24"/>
        <w:szCs w:val="24"/>
        <w:lang w:val="en-US" w:eastAsia="en-US" w:bidi="ar-SA"/>
      </w:rPr>
    </w:lvl>
    <w:lvl w:ilvl="2" w:tplc="4DC27780">
      <w:numFmt w:val="bullet"/>
      <w:lvlText w:val="•"/>
      <w:lvlJc w:val="left"/>
      <w:pPr>
        <w:ind w:left="1560" w:hanging="360"/>
      </w:pPr>
      <w:rPr>
        <w:rFonts w:hint="default"/>
        <w:lang w:val="en-US" w:eastAsia="en-US" w:bidi="ar-SA"/>
      </w:rPr>
    </w:lvl>
    <w:lvl w:ilvl="3" w:tplc="008093A8">
      <w:numFmt w:val="bullet"/>
      <w:lvlText w:val="•"/>
      <w:lvlJc w:val="left"/>
      <w:pPr>
        <w:ind w:left="2660" w:hanging="360"/>
      </w:pPr>
      <w:rPr>
        <w:rFonts w:hint="default"/>
        <w:lang w:val="en-US" w:eastAsia="en-US" w:bidi="ar-SA"/>
      </w:rPr>
    </w:lvl>
    <w:lvl w:ilvl="4" w:tplc="FCB67F86">
      <w:numFmt w:val="bullet"/>
      <w:lvlText w:val="•"/>
      <w:lvlJc w:val="left"/>
      <w:pPr>
        <w:ind w:left="3760" w:hanging="360"/>
      </w:pPr>
      <w:rPr>
        <w:rFonts w:hint="default"/>
        <w:lang w:val="en-US" w:eastAsia="en-US" w:bidi="ar-SA"/>
      </w:rPr>
    </w:lvl>
    <w:lvl w:ilvl="5" w:tplc="CEF0636A">
      <w:numFmt w:val="bullet"/>
      <w:lvlText w:val="•"/>
      <w:lvlJc w:val="left"/>
      <w:pPr>
        <w:ind w:left="4860" w:hanging="360"/>
      </w:pPr>
      <w:rPr>
        <w:rFonts w:hint="default"/>
        <w:lang w:val="en-US" w:eastAsia="en-US" w:bidi="ar-SA"/>
      </w:rPr>
    </w:lvl>
    <w:lvl w:ilvl="6" w:tplc="5A3ADF32">
      <w:numFmt w:val="bullet"/>
      <w:lvlText w:val="•"/>
      <w:lvlJc w:val="left"/>
      <w:pPr>
        <w:ind w:left="5961" w:hanging="360"/>
      </w:pPr>
      <w:rPr>
        <w:rFonts w:hint="default"/>
        <w:lang w:val="en-US" w:eastAsia="en-US" w:bidi="ar-SA"/>
      </w:rPr>
    </w:lvl>
    <w:lvl w:ilvl="7" w:tplc="41D62044">
      <w:numFmt w:val="bullet"/>
      <w:lvlText w:val="•"/>
      <w:lvlJc w:val="left"/>
      <w:pPr>
        <w:ind w:left="7061" w:hanging="360"/>
      </w:pPr>
      <w:rPr>
        <w:rFonts w:hint="default"/>
        <w:lang w:val="en-US" w:eastAsia="en-US" w:bidi="ar-SA"/>
      </w:rPr>
    </w:lvl>
    <w:lvl w:ilvl="8" w:tplc="43FC68E8">
      <w:numFmt w:val="bullet"/>
      <w:lvlText w:val="•"/>
      <w:lvlJc w:val="left"/>
      <w:pPr>
        <w:ind w:left="8161" w:hanging="360"/>
      </w:pPr>
      <w:rPr>
        <w:rFonts w:hint="default"/>
        <w:lang w:val="en-US" w:eastAsia="en-US" w:bidi="ar-SA"/>
      </w:rPr>
    </w:lvl>
  </w:abstractNum>
  <w:abstractNum w:abstractNumId="40" w15:restartNumberingAfterBreak="0">
    <w:nsid w:val="7FF76DCE"/>
    <w:multiLevelType w:val="hybridMultilevel"/>
    <w:tmpl w:val="721290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15758801">
    <w:abstractNumId w:val="28"/>
  </w:num>
  <w:num w:numId="2" w16cid:durableId="165099502">
    <w:abstractNumId w:val="29"/>
  </w:num>
  <w:num w:numId="3" w16cid:durableId="2029326075">
    <w:abstractNumId w:val="24"/>
  </w:num>
  <w:num w:numId="4" w16cid:durableId="54747445">
    <w:abstractNumId w:val="40"/>
  </w:num>
  <w:num w:numId="5" w16cid:durableId="1800024585">
    <w:abstractNumId w:val="22"/>
  </w:num>
  <w:num w:numId="6" w16cid:durableId="1863745278">
    <w:abstractNumId w:val="7"/>
  </w:num>
  <w:num w:numId="7" w16cid:durableId="612520042">
    <w:abstractNumId w:val="17"/>
  </w:num>
  <w:num w:numId="8" w16cid:durableId="760418067">
    <w:abstractNumId w:val="33"/>
  </w:num>
  <w:num w:numId="9" w16cid:durableId="120926799">
    <w:abstractNumId w:val="16"/>
  </w:num>
  <w:num w:numId="10" w16cid:durableId="1190100298">
    <w:abstractNumId w:val="15"/>
  </w:num>
  <w:num w:numId="11" w16cid:durableId="1768847169">
    <w:abstractNumId w:val="14"/>
  </w:num>
  <w:num w:numId="12" w16cid:durableId="1374111717">
    <w:abstractNumId w:val="31"/>
  </w:num>
  <w:num w:numId="13" w16cid:durableId="1933781418">
    <w:abstractNumId w:val="2"/>
  </w:num>
  <w:num w:numId="14" w16cid:durableId="1414814554">
    <w:abstractNumId w:val="21"/>
  </w:num>
  <w:num w:numId="15" w16cid:durableId="1113398202">
    <w:abstractNumId w:val="27"/>
  </w:num>
  <w:num w:numId="16" w16cid:durableId="1950893295">
    <w:abstractNumId w:val="26"/>
  </w:num>
  <w:num w:numId="17" w16cid:durableId="955023006">
    <w:abstractNumId w:val="13"/>
  </w:num>
  <w:num w:numId="18" w16cid:durableId="1093353291">
    <w:abstractNumId w:val="23"/>
  </w:num>
  <w:num w:numId="19" w16cid:durableId="664167666">
    <w:abstractNumId w:val="30"/>
  </w:num>
  <w:num w:numId="20" w16cid:durableId="1992444937">
    <w:abstractNumId w:val="19"/>
  </w:num>
  <w:num w:numId="21" w16cid:durableId="134303980">
    <w:abstractNumId w:val="10"/>
  </w:num>
  <w:num w:numId="22" w16cid:durableId="949555302">
    <w:abstractNumId w:val="20"/>
  </w:num>
  <w:num w:numId="23" w16cid:durableId="1134447360">
    <w:abstractNumId w:val="0"/>
  </w:num>
  <w:num w:numId="24" w16cid:durableId="2112973167">
    <w:abstractNumId w:val="3"/>
  </w:num>
  <w:num w:numId="25" w16cid:durableId="1649017501">
    <w:abstractNumId w:val="4"/>
  </w:num>
  <w:num w:numId="26" w16cid:durableId="712000942">
    <w:abstractNumId w:val="38"/>
  </w:num>
  <w:num w:numId="27" w16cid:durableId="434059440">
    <w:abstractNumId w:val="34"/>
  </w:num>
  <w:num w:numId="28" w16cid:durableId="1460689593">
    <w:abstractNumId w:val="6"/>
  </w:num>
  <w:num w:numId="29" w16cid:durableId="441414821">
    <w:abstractNumId w:val="12"/>
  </w:num>
  <w:num w:numId="30" w16cid:durableId="985015659">
    <w:abstractNumId w:val="11"/>
  </w:num>
  <w:num w:numId="31" w16cid:durableId="1097141138">
    <w:abstractNumId w:val="39"/>
  </w:num>
  <w:num w:numId="32" w16cid:durableId="1070539689">
    <w:abstractNumId w:val="5"/>
  </w:num>
  <w:num w:numId="33" w16cid:durableId="726956944">
    <w:abstractNumId w:val="37"/>
  </w:num>
  <w:num w:numId="34" w16cid:durableId="688485080">
    <w:abstractNumId w:val="9"/>
  </w:num>
  <w:num w:numId="35" w16cid:durableId="1616134294">
    <w:abstractNumId w:val="25"/>
  </w:num>
  <w:num w:numId="36" w16cid:durableId="1808236434">
    <w:abstractNumId w:val="18"/>
  </w:num>
  <w:num w:numId="37" w16cid:durableId="901909442">
    <w:abstractNumId w:val="8"/>
  </w:num>
  <w:num w:numId="38" w16cid:durableId="228198247">
    <w:abstractNumId w:val="36"/>
  </w:num>
  <w:num w:numId="39" w16cid:durableId="910383779">
    <w:abstractNumId w:val="35"/>
  </w:num>
  <w:num w:numId="40" w16cid:durableId="1360428719">
    <w:abstractNumId w:val="1"/>
  </w:num>
  <w:num w:numId="41" w16cid:durableId="832381521">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9"/>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2540"/>
    <w:rsid w:val="0000053A"/>
    <w:rsid w:val="00012064"/>
    <w:rsid w:val="00056B25"/>
    <w:rsid w:val="000628D6"/>
    <w:rsid w:val="000725A6"/>
    <w:rsid w:val="00090D4E"/>
    <w:rsid w:val="000B1B10"/>
    <w:rsid w:val="000B1E4E"/>
    <w:rsid w:val="000B5AF5"/>
    <w:rsid w:val="00144AAE"/>
    <w:rsid w:val="001609AD"/>
    <w:rsid w:val="00162FDF"/>
    <w:rsid w:val="0018525A"/>
    <w:rsid w:val="001A5EDB"/>
    <w:rsid w:val="001B614E"/>
    <w:rsid w:val="001D1FFA"/>
    <w:rsid w:val="001F0820"/>
    <w:rsid w:val="0021159F"/>
    <w:rsid w:val="0025294D"/>
    <w:rsid w:val="002538F4"/>
    <w:rsid w:val="002A38E5"/>
    <w:rsid w:val="002A5BC8"/>
    <w:rsid w:val="002B41B8"/>
    <w:rsid w:val="002C1A5A"/>
    <w:rsid w:val="002D2EA3"/>
    <w:rsid w:val="002E7B1C"/>
    <w:rsid w:val="00332BE2"/>
    <w:rsid w:val="00333EA6"/>
    <w:rsid w:val="00381836"/>
    <w:rsid w:val="0038308F"/>
    <w:rsid w:val="00385507"/>
    <w:rsid w:val="00393AE4"/>
    <w:rsid w:val="003B23A5"/>
    <w:rsid w:val="003D02AC"/>
    <w:rsid w:val="003E0876"/>
    <w:rsid w:val="003E3EBE"/>
    <w:rsid w:val="00486665"/>
    <w:rsid w:val="004A0D8B"/>
    <w:rsid w:val="004C3EF6"/>
    <w:rsid w:val="004F190D"/>
    <w:rsid w:val="005500E5"/>
    <w:rsid w:val="00556071"/>
    <w:rsid w:val="005C2345"/>
    <w:rsid w:val="005E6386"/>
    <w:rsid w:val="00600FBA"/>
    <w:rsid w:val="00624868"/>
    <w:rsid w:val="006823BA"/>
    <w:rsid w:val="006C15F1"/>
    <w:rsid w:val="006F1A9E"/>
    <w:rsid w:val="00730059"/>
    <w:rsid w:val="00732F91"/>
    <w:rsid w:val="0074626D"/>
    <w:rsid w:val="00757E03"/>
    <w:rsid w:val="007621D9"/>
    <w:rsid w:val="00774CBF"/>
    <w:rsid w:val="0080261D"/>
    <w:rsid w:val="00824686"/>
    <w:rsid w:val="008703FE"/>
    <w:rsid w:val="00875682"/>
    <w:rsid w:val="008A3E2F"/>
    <w:rsid w:val="008C0736"/>
    <w:rsid w:val="00901744"/>
    <w:rsid w:val="00985652"/>
    <w:rsid w:val="009A4E86"/>
    <w:rsid w:val="009C165C"/>
    <w:rsid w:val="009E6B3F"/>
    <w:rsid w:val="009F6F18"/>
    <w:rsid w:val="00A30FF5"/>
    <w:rsid w:val="00A3637D"/>
    <w:rsid w:val="00A50FCE"/>
    <w:rsid w:val="00A653B6"/>
    <w:rsid w:val="00A71791"/>
    <w:rsid w:val="00A80B97"/>
    <w:rsid w:val="00A83784"/>
    <w:rsid w:val="00A9149E"/>
    <w:rsid w:val="00A978D4"/>
    <w:rsid w:val="00AA717D"/>
    <w:rsid w:val="00AC5234"/>
    <w:rsid w:val="00B01588"/>
    <w:rsid w:val="00B17282"/>
    <w:rsid w:val="00B2467F"/>
    <w:rsid w:val="00B2555B"/>
    <w:rsid w:val="00B360C2"/>
    <w:rsid w:val="00B423BA"/>
    <w:rsid w:val="00B53038"/>
    <w:rsid w:val="00B535A9"/>
    <w:rsid w:val="00BB7808"/>
    <w:rsid w:val="00BC0ED0"/>
    <w:rsid w:val="00C05FED"/>
    <w:rsid w:val="00C225B9"/>
    <w:rsid w:val="00C350F4"/>
    <w:rsid w:val="00C37E6B"/>
    <w:rsid w:val="00C93578"/>
    <w:rsid w:val="00CC535E"/>
    <w:rsid w:val="00CE46D0"/>
    <w:rsid w:val="00D41180"/>
    <w:rsid w:val="00D52DF7"/>
    <w:rsid w:val="00D53105"/>
    <w:rsid w:val="00D7492B"/>
    <w:rsid w:val="00D808FA"/>
    <w:rsid w:val="00D92540"/>
    <w:rsid w:val="00DC560E"/>
    <w:rsid w:val="00DD2B51"/>
    <w:rsid w:val="00E201E5"/>
    <w:rsid w:val="00E51E26"/>
    <w:rsid w:val="00E81906"/>
    <w:rsid w:val="00E92342"/>
    <w:rsid w:val="00EA500C"/>
    <w:rsid w:val="00F2435D"/>
    <w:rsid w:val="00F337EE"/>
    <w:rsid w:val="00F55435"/>
    <w:rsid w:val="00FB41D2"/>
    <w:rsid w:val="00FC325D"/>
    <w:rsid w:val="00FF151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chartTrackingRefBased/>
  <w15:docId w15:val="{18AEDCD0-1A7F-4661-9E5B-DCD6EB756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609AD"/>
    <w:pPr>
      <w:widowControl w:val="0"/>
      <w:autoSpaceDE w:val="0"/>
      <w:autoSpaceDN w:val="0"/>
      <w:spacing w:before="1" w:after="0" w:line="240" w:lineRule="auto"/>
      <w:ind w:left="20"/>
      <w:outlineLvl w:val="0"/>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A717D"/>
    <w:pPr>
      <w:ind w:left="720"/>
      <w:contextualSpacing/>
    </w:pPr>
  </w:style>
  <w:style w:type="paragraph" w:styleId="FootnoteText">
    <w:name w:val="footnote text"/>
    <w:basedOn w:val="Normal"/>
    <w:link w:val="FootnoteTextChar"/>
    <w:uiPriority w:val="99"/>
    <w:semiHidden/>
    <w:unhideWhenUsed/>
    <w:rsid w:val="00C05FE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05FED"/>
    <w:rPr>
      <w:sz w:val="20"/>
      <w:szCs w:val="20"/>
    </w:rPr>
  </w:style>
  <w:style w:type="character" w:styleId="FootnoteReference">
    <w:name w:val="footnote reference"/>
    <w:basedOn w:val="DefaultParagraphFont"/>
    <w:uiPriority w:val="99"/>
    <w:semiHidden/>
    <w:unhideWhenUsed/>
    <w:rsid w:val="00C05FED"/>
    <w:rPr>
      <w:vertAlign w:val="superscript"/>
    </w:rPr>
  </w:style>
  <w:style w:type="character" w:styleId="Hyperlink">
    <w:name w:val="Hyperlink"/>
    <w:basedOn w:val="DefaultParagraphFont"/>
    <w:uiPriority w:val="99"/>
    <w:unhideWhenUsed/>
    <w:rsid w:val="009F6F18"/>
    <w:rPr>
      <w:color w:val="0563C1" w:themeColor="hyperlink"/>
      <w:u w:val="single"/>
    </w:rPr>
  </w:style>
  <w:style w:type="character" w:styleId="UnresolvedMention">
    <w:name w:val="Unresolved Mention"/>
    <w:basedOn w:val="DefaultParagraphFont"/>
    <w:uiPriority w:val="99"/>
    <w:semiHidden/>
    <w:unhideWhenUsed/>
    <w:rsid w:val="009F6F18"/>
    <w:rPr>
      <w:color w:val="605E5C"/>
      <w:shd w:val="clear" w:color="auto" w:fill="E1DFDD"/>
    </w:rPr>
  </w:style>
  <w:style w:type="paragraph" w:styleId="EndnoteText">
    <w:name w:val="endnote text"/>
    <w:basedOn w:val="Normal"/>
    <w:link w:val="EndnoteTextChar"/>
    <w:uiPriority w:val="99"/>
    <w:semiHidden/>
    <w:unhideWhenUsed/>
    <w:rsid w:val="00A653B6"/>
    <w:pPr>
      <w:spacing w:after="0" w:line="240" w:lineRule="auto"/>
    </w:pPr>
    <w:rPr>
      <w:sz w:val="20"/>
      <w:szCs w:val="20"/>
    </w:rPr>
  </w:style>
  <w:style w:type="character" w:customStyle="1" w:styleId="EndnoteTextChar">
    <w:name w:val="Endnote Text Char"/>
    <w:basedOn w:val="DefaultParagraphFont"/>
    <w:link w:val="EndnoteText"/>
    <w:uiPriority w:val="99"/>
    <w:semiHidden/>
    <w:rsid w:val="00A653B6"/>
    <w:rPr>
      <w:sz w:val="20"/>
      <w:szCs w:val="20"/>
    </w:rPr>
  </w:style>
  <w:style w:type="character" w:styleId="EndnoteReference">
    <w:name w:val="endnote reference"/>
    <w:basedOn w:val="DefaultParagraphFont"/>
    <w:uiPriority w:val="99"/>
    <w:semiHidden/>
    <w:unhideWhenUsed/>
    <w:rsid w:val="00A653B6"/>
    <w:rPr>
      <w:vertAlign w:val="superscript"/>
    </w:rPr>
  </w:style>
  <w:style w:type="paragraph" w:styleId="NormalWeb">
    <w:name w:val="Normal (Web)"/>
    <w:basedOn w:val="Normal"/>
    <w:uiPriority w:val="99"/>
    <w:semiHidden/>
    <w:unhideWhenUsed/>
    <w:rsid w:val="00393AE4"/>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393AE4"/>
    <w:rPr>
      <w:b/>
      <w:bCs/>
    </w:rPr>
  </w:style>
  <w:style w:type="character" w:styleId="Emphasis">
    <w:name w:val="Emphasis"/>
    <w:basedOn w:val="DefaultParagraphFont"/>
    <w:uiPriority w:val="20"/>
    <w:qFormat/>
    <w:rsid w:val="00393AE4"/>
    <w:rPr>
      <w:i/>
      <w:iCs/>
    </w:rPr>
  </w:style>
  <w:style w:type="paragraph" w:styleId="Header">
    <w:name w:val="header"/>
    <w:basedOn w:val="Normal"/>
    <w:link w:val="HeaderChar"/>
    <w:uiPriority w:val="99"/>
    <w:unhideWhenUsed/>
    <w:rsid w:val="00C93578"/>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3578"/>
  </w:style>
  <w:style w:type="paragraph" w:styleId="Footer">
    <w:name w:val="footer"/>
    <w:basedOn w:val="Normal"/>
    <w:link w:val="FooterChar"/>
    <w:uiPriority w:val="99"/>
    <w:unhideWhenUsed/>
    <w:rsid w:val="00C935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578"/>
  </w:style>
  <w:style w:type="character" w:styleId="PageNumber">
    <w:name w:val="page number"/>
    <w:basedOn w:val="DefaultParagraphFont"/>
    <w:uiPriority w:val="99"/>
    <w:semiHidden/>
    <w:unhideWhenUsed/>
    <w:rsid w:val="00C93578"/>
  </w:style>
  <w:style w:type="table" w:styleId="TableGrid">
    <w:name w:val="Table Grid"/>
    <w:basedOn w:val="TableNormal"/>
    <w:uiPriority w:val="39"/>
    <w:rsid w:val="004A0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1609AD"/>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1609AD"/>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1609AD"/>
    <w:rPr>
      <w:rFonts w:ascii="Times New Roman" w:eastAsia="Times New Roman" w:hAnsi="Times New Roman" w:cs="Times New Roman"/>
      <w:kern w:val="0"/>
      <w:sz w:val="24"/>
      <w:szCs w:val="24"/>
      <w:lang w:val="en-US"/>
      <w14:ligatures w14:val="none"/>
    </w:rPr>
  </w:style>
  <w:style w:type="paragraph" w:styleId="Title">
    <w:name w:val="Title"/>
    <w:basedOn w:val="Normal"/>
    <w:link w:val="TitleChar"/>
    <w:uiPriority w:val="10"/>
    <w:qFormat/>
    <w:rsid w:val="001609AD"/>
    <w:pPr>
      <w:widowControl w:val="0"/>
      <w:autoSpaceDE w:val="0"/>
      <w:autoSpaceDN w:val="0"/>
      <w:spacing w:after="0" w:line="240" w:lineRule="auto"/>
      <w:ind w:left="461"/>
      <w:jc w:val="center"/>
    </w:pPr>
    <w:rPr>
      <w:rFonts w:ascii="Times New Roman" w:eastAsia="Times New Roman" w:hAnsi="Times New Roman" w:cs="Times New Roman"/>
      <w:b/>
      <w:bCs/>
      <w:kern w:val="0"/>
      <w:sz w:val="28"/>
      <w:szCs w:val="28"/>
      <w:lang w:val="en-US"/>
      <w14:ligatures w14:val="none"/>
    </w:rPr>
  </w:style>
  <w:style w:type="character" w:customStyle="1" w:styleId="TitleChar">
    <w:name w:val="Title Char"/>
    <w:basedOn w:val="DefaultParagraphFont"/>
    <w:link w:val="Title"/>
    <w:uiPriority w:val="10"/>
    <w:rsid w:val="001609AD"/>
    <w:rPr>
      <w:rFonts w:ascii="Times New Roman" w:eastAsia="Times New Roman" w:hAnsi="Times New Roman" w:cs="Times New Roman"/>
      <w:b/>
      <w:bCs/>
      <w:kern w:val="0"/>
      <w:sz w:val="28"/>
      <w:szCs w:val="28"/>
      <w:lang w:val="en-US"/>
      <w14:ligatures w14:val="none"/>
    </w:rPr>
  </w:style>
  <w:style w:type="paragraph" w:styleId="NoSpacing">
    <w:name w:val="No Spacing"/>
    <w:uiPriority w:val="1"/>
    <w:qFormat/>
    <w:rsid w:val="001852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784398">
      <w:bodyDiv w:val="1"/>
      <w:marLeft w:val="0"/>
      <w:marRight w:val="0"/>
      <w:marTop w:val="0"/>
      <w:marBottom w:val="0"/>
      <w:divBdr>
        <w:top w:val="none" w:sz="0" w:space="0" w:color="auto"/>
        <w:left w:val="none" w:sz="0" w:space="0" w:color="auto"/>
        <w:bottom w:val="none" w:sz="0" w:space="0" w:color="auto"/>
        <w:right w:val="none" w:sz="0" w:space="0" w:color="auto"/>
      </w:divBdr>
    </w:div>
    <w:div w:id="164446522">
      <w:bodyDiv w:val="1"/>
      <w:marLeft w:val="0"/>
      <w:marRight w:val="0"/>
      <w:marTop w:val="0"/>
      <w:marBottom w:val="0"/>
      <w:divBdr>
        <w:top w:val="none" w:sz="0" w:space="0" w:color="auto"/>
        <w:left w:val="none" w:sz="0" w:space="0" w:color="auto"/>
        <w:bottom w:val="none" w:sz="0" w:space="0" w:color="auto"/>
        <w:right w:val="none" w:sz="0" w:space="0" w:color="auto"/>
      </w:divBdr>
    </w:div>
    <w:div w:id="332299319">
      <w:bodyDiv w:val="1"/>
      <w:marLeft w:val="0"/>
      <w:marRight w:val="0"/>
      <w:marTop w:val="0"/>
      <w:marBottom w:val="0"/>
      <w:divBdr>
        <w:top w:val="none" w:sz="0" w:space="0" w:color="auto"/>
        <w:left w:val="none" w:sz="0" w:space="0" w:color="auto"/>
        <w:bottom w:val="none" w:sz="0" w:space="0" w:color="auto"/>
        <w:right w:val="none" w:sz="0" w:space="0" w:color="auto"/>
      </w:divBdr>
      <w:divsChild>
        <w:div w:id="1701936093">
          <w:marLeft w:val="0"/>
          <w:marRight w:val="0"/>
          <w:marTop w:val="0"/>
          <w:marBottom w:val="525"/>
          <w:divBdr>
            <w:top w:val="none" w:sz="0" w:space="0" w:color="auto"/>
            <w:left w:val="none" w:sz="0" w:space="0" w:color="auto"/>
            <w:bottom w:val="none" w:sz="0" w:space="0" w:color="auto"/>
            <w:right w:val="none" w:sz="0" w:space="0" w:color="auto"/>
          </w:divBdr>
          <w:divsChild>
            <w:div w:id="1379629347">
              <w:marLeft w:val="0"/>
              <w:marRight w:val="0"/>
              <w:marTop w:val="0"/>
              <w:marBottom w:val="0"/>
              <w:divBdr>
                <w:top w:val="none" w:sz="0" w:space="0" w:color="auto"/>
                <w:left w:val="none" w:sz="0" w:space="0" w:color="auto"/>
                <w:bottom w:val="none" w:sz="0" w:space="0" w:color="auto"/>
                <w:right w:val="none" w:sz="0" w:space="0" w:color="auto"/>
              </w:divBdr>
            </w:div>
          </w:divsChild>
        </w:div>
        <w:div w:id="2000032329">
          <w:marLeft w:val="0"/>
          <w:marRight w:val="0"/>
          <w:marTop w:val="0"/>
          <w:marBottom w:val="525"/>
          <w:divBdr>
            <w:top w:val="none" w:sz="0" w:space="0" w:color="auto"/>
            <w:left w:val="none" w:sz="0" w:space="0" w:color="auto"/>
            <w:bottom w:val="none" w:sz="0" w:space="0" w:color="auto"/>
            <w:right w:val="none" w:sz="0" w:space="0" w:color="auto"/>
          </w:divBdr>
          <w:divsChild>
            <w:div w:id="178044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160463">
      <w:bodyDiv w:val="1"/>
      <w:marLeft w:val="0"/>
      <w:marRight w:val="0"/>
      <w:marTop w:val="0"/>
      <w:marBottom w:val="0"/>
      <w:divBdr>
        <w:top w:val="none" w:sz="0" w:space="0" w:color="auto"/>
        <w:left w:val="none" w:sz="0" w:space="0" w:color="auto"/>
        <w:bottom w:val="none" w:sz="0" w:space="0" w:color="auto"/>
        <w:right w:val="none" w:sz="0" w:space="0" w:color="auto"/>
      </w:divBdr>
    </w:div>
    <w:div w:id="626354805">
      <w:bodyDiv w:val="1"/>
      <w:marLeft w:val="0"/>
      <w:marRight w:val="0"/>
      <w:marTop w:val="0"/>
      <w:marBottom w:val="0"/>
      <w:divBdr>
        <w:top w:val="none" w:sz="0" w:space="0" w:color="auto"/>
        <w:left w:val="none" w:sz="0" w:space="0" w:color="auto"/>
        <w:bottom w:val="none" w:sz="0" w:space="0" w:color="auto"/>
        <w:right w:val="none" w:sz="0" w:space="0" w:color="auto"/>
      </w:divBdr>
    </w:div>
    <w:div w:id="732506761">
      <w:bodyDiv w:val="1"/>
      <w:marLeft w:val="0"/>
      <w:marRight w:val="0"/>
      <w:marTop w:val="0"/>
      <w:marBottom w:val="0"/>
      <w:divBdr>
        <w:top w:val="none" w:sz="0" w:space="0" w:color="auto"/>
        <w:left w:val="none" w:sz="0" w:space="0" w:color="auto"/>
        <w:bottom w:val="none" w:sz="0" w:space="0" w:color="auto"/>
        <w:right w:val="none" w:sz="0" w:space="0" w:color="auto"/>
      </w:divBdr>
    </w:div>
    <w:div w:id="1190342205">
      <w:bodyDiv w:val="1"/>
      <w:marLeft w:val="0"/>
      <w:marRight w:val="0"/>
      <w:marTop w:val="0"/>
      <w:marBottom w:val="0"/>
      <w:divBdr>
        <w:top w:val="none" w:sz="0" w:space="0" w:color="auto"/>
        <w:left w:val="none" w:sz="0" w:space="0" w:color="auto"/>
        <w:bottom w:val="none" w:sz="0" w:space="0" w:color="auto"/>
        <w:right w:val="none" w:sz="0" w:space="0" w:color="auto"/>
      </w:divBdr>
    </w:div>
    <w:div w:id="1292008399">
      <w:bodyDiv w:val="1"/>
      <w:marLeft w:val="0"/>
      <w:marRight w:val="0"/>
      <w:marTop w:val="0"/>
      <w:marBottom w:val="0"/>
      <w:divBdr>
        <w:top w:val="none" w:sz="0" w:space="0" w:color="auto"/>
        <w:left w:val="none" w:sz="0" w:space="0" w:color="auto"/>
        <w:bottom w:val="none" w:sz="0" w:space="0" w:color="auto"/>
        <w:right w:val="none" w:sz="0" w:space="0" w:color="auto"/>
      </w:divBdr>
    </w:div>
    <w:div w:id="1570732321">
      <w:bodyDiv w:val="1"/>
      <w:marLeft w:val="0"/>
      <w:marRight w:val="0"/>
      <w:marTop w:val="0"/>
      <w:marBottom w:val="0"/>
      <w:divBdr>
        <w:top w:val="none" w:sz="0" w:space="0" w:color="auto"/>
        <w:left w:val="none" w:sz="0" w:space="0" w:color="auto"/>
        <w:bottom w:val="none" w:sz="0" w:space="0" w:color="auto"/>
        <w:right w:val="none" w:sz="0" w:space="0" w:color="auto"/>
      </w:divBdr>
    </w:div>
    <w:div w:id="1673290578">
      <w:bodyDiv w:val="1"/>
      <w:marLeft w:val="0"/>
      <w:marRight w:val="0"/>
      <w:marTop w:val="0"/>
      <w:marBottom w:val="0"/>
      <w:divBdr>
        <w:top w:val="none" w:sz="0" w:space="0" w:color="auto"/>
        <w:left w:val="none" w:sz="0" w:space="0" w:color="auto"/>
        <w:bottom w:val="none" w:sz="0" w:space="0" w:color="auto"/>
        <w:right w:val="none" w:sz="0" w:space="0" w:color="auto"/>
      </w:divBdr>
    </w:div>
    <w:div w:id="1705709679">
      <w:bodyDiv w:val="1"/>
      <w:marLeft w:val="0"/>
      <w:marRight w:val="0"/>
      <w:marTop w:val="0"/>
      <w:marBottom w:val="0"/>
      <w:divBdr>
        <w:top w:val="none" w:sz="0" w:space="0" w:color="auto"/>
        <w:left w:val="none" w:sz="0" w:space="0" w:color="auto"/>
        <w:bottom w:val="none" w:sz="0" w:space="0" w:color="auto"/>
        <w:right w:val="none" w:sz="0" w:space="0" w:color="auto"/>
      </w:divBdr>
    </w:div>
    <w:div w:id="1823040564">
      <w:bodyDiv w:val="1"/>
      <w:marLeft w:val="0"/>
      <w:marRight w:val="0"/>
      <w:marTop w:val="0"/>
      <w:marBottom w:val="0"/>
      <w:divBdr>
        <w:top w:val="none" w:sz="0" w:space="0" w:color="auto"/>
        <w:left w:val="none" w:sz="0" w:space="0" w:color="auto"/>
        <w:bottom w:val="none" w:sz="0" w:space="0" w:color="auto"/>
        <w:right w:val="none" w:sz="0" w:space="0" w:color="auto"/>
      </w:divBdr>
    </w:div>
    <w:div w:id="1874072326">
      <w:bodyDiv w:val="1"/>
      <w:marLeft w:val="0"/>
      <w:marRight w:val="0"/>
      <w:marTop w:val="0"/>
      <w:marBottom w:val="0"/>
      <w:divBdr>
        <w:top w:val="none" w:sz="0" w:space="0" w:color="auto"/>
        <w:left w:val="none" w:sz="0" w:space="0" w:color="auto"/>
        <w:bottom w:val="none" w:sz="0" w:space="0" w:color="auto"/>
        <w:right w:val="none" w:sz="0" w:space="0" w:color="auto"/>
      </w:divBdr>
    </w:div>
    <w:div w:id="1942909088">
      <w:bodyDiv w:val="1"/>
      <w:marLeft w:val="0"/>
      <w:marRight w:val="0"/>
      <w:marTop w:val="0"/>
      <w:marBottom w:val="0"/>
      <w:divBdr>
        <w:top w:val="none" w:sz="0" w:space="0" w:color="auto"/>
        <w:left w:val="none" w:sz="0" w:space="0" w:color="auto"/>
        <w:bottom w:val="none" w:sz="0" w:space="0" w:color="auto"/>
        <w:right w:val="none" w:sz="0" w:space="0" w:color="auto"/>
      </w:divBdr>
    </w:div>
    <w:div w:id="1956523460">
      <w:bodyDiv w:val="1"/>
      <w:marLeft w:val="0"/>
      <w:marRight w:val="0"/>
      <w:marTop w:val="0"/>
      <w:marBottom w:val="0"/>
      <w:divBdr>
        <w:top w:val="none" w:sz="0" w:space="0" w:color="auto"/>
        <w:left w:val="none" w:sz="0" w:space="0" w:color="auto"/>
        <w:bottom w:val="none" w:sz="0" w:space="0" w:color="auto"/>
        <w:right w:val="none" w:sz="0" w:space="0" w:color="auto"/>
      </w:divBdr>
    </w:div>
    <w:div w:id="2089572977">
      <w:bodyDiv w:val="1"/>
      <w:marLeft w:val="0"/>
      <w:marRight w:val="0"/>
      <w:marTop w:val="0"/>
      <w:marBottom w:val="0"/>
      <w:divBdr>
        <w:top w:val="none" w:sz="0" w:space="0" w:color="auto"/>
        <w:left w:val="none" w:sz="0" w:space="0" w:color="auto"/>
        <w:bottom w:val="none" w:sz="0" w:space="0" w:color="auto"/>
        <w:right w:val="none" w:sz="0" w:space="0" w:color="auto"/>
      </w:divBdr>
      <w:divsChild>
        <w:div w:id="1167750524">
          <w:marLeft w:val="0"/>
          <w:marRight w:val="0"/>
          <w:marTop w:val="0"/>
          <w:marBottom w:val="525"/>
          <w:divBdr>
            <w:top w:val="none" w:sz="0" w:space="0" w:color="auto"/>
            <w:left w:val="none" w:sz="0" w:space="0" w:color="auto"/>
            <w:bottom w:val="none" w:sz="0" w:space="0" w:color="auto"/>
            <w:right w:val="none" w:sz="0" w:space="0" w:color="auto"/>
          </w:divBdr>
          <w:divsChild>
            <w:div w:id="1460345776">
              <w:marLeft w:val="0"/>
              <w:marRight w:val="0"/>
              <w:marTop w:val="0"/>
              <w:marBottom w:val="0"/>
              <w:divBdr>
                <w:top w:val="none" w:sz="0" w:space="0" w:color="auto"/>
                <w:left w:val="none" w:sz="0" w:space="0" w:color="auto"/>
                <w:bottom w:val="none" w:sz="0" w:space="0" w:color="auto"/>
                <w:right w:val="none" w:sz="0" w:space="0" w:color="auto"/>
              </w:divBdr>
            </w:div>
          </w:divsChild>
        </w:div>
        <w:div w:id="294990614">
          <w:marLeft w:val="0"/>
          <w:marRight w:val="0"/>
          <w:marTop w:val="0"/>
          <w:marBottom w:val="525"/>
          <w:divBdr>
            <w:top w:val="none" w:sz="0" w:space="0" w:color="auto"/>
            <w:left w:val="none" w:sz="0" w:space="0" w:color="auto"/>
            <w:bottom w:val="none" w:sz="0" w:space="0" w:color="auto"/>
            <w:right w:val="none" w:sz="0" w:space="0" w:color="auto"/>
          </w:divBdr>
          <w:divsChild>
            <w:div w:id="122533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809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C14052-2A8B-42A0-B7F1-287C3E85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1050</Words>
  <Characters>5989</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Saransh Bhatia</dc:creator>
  <cp:keywords/>
  <dc:description/>
  <cp:lastModifiedBy>K &amp; Co</cp:lastModifiedBy>
  <cp:revision>2</cp:revision>
  <cp:lastPrinted>2025-08-16T11:30:00Z</cp:lastPrinted>
  <dcterms:created xsi:type="dcterms:W3CDTF">2025-08-19T14:52:00Z</dcterms:created>
  <dcterms:modified xsi:type="dcterms:W3CDTF">2025-08-19T14:52:00Z</dcterms:modified>
</cp:coreProperties>
</file>